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Duval</w:t>
      </w:r>
      <w:r>
        <w:t xml:space="preserve"> </w:t>
      </w:r>
      <w:r>
        <w:t xml:space="preserve">County</w:t>
      </w:r>
    </w:p>
    <w:p>
      <w:pPr>
        <w:pStyle w:val="Author"/>
      </w:pPr>
      <w:r>
        <w:t xml:space="preserve">Prepared</w:t>
      </w:r>
      <w:r>
        <w:t xml:space="preserve"> </w:t>
      </w:r>
      <w:r>
        <w:t xml:space="preserve">for</w:t>
      </w:r>
      <w:r>
        <w:t xml:space="preserve"> </w:t>
      </w:r>
      <w:r>
        <w:t xml:space="preserve">Duval</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p>
    <w:bookmarkStart w:id="21"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Duval County</w:t>
      </w:r>
      <w:r>
        <w:t xml:space="preserve">. The report describes information about where people come from when they fish Duval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Duval County</w:t>
      </w:r>
      <w:r>
        <w:t xml:space="preserve">, which can provide you.</w:t>
      </w:r>
    </w:p>
    <w:p>
      <w:pPr>
        <w:pStyle w:val="BodyText"/>
      </w:pPr>
    </w:p>
    <w:bookmarkEnd w:id="21"/>
    <w:bookmarkStart w:id="24" w:name="Xf6091961d9622f88db1ef1f0a344083bdfa5987"/>
    <w:p>
      <w:pPr>
        <w:pStyle w:val="Heading3"/>
      </w:pPr>
      <w:r>
        <w:t xml:space="preserve">Where people come from to fish Duval County</w:t>
      </w:r>
    </w:p>
    <w:bookmarkStart w:id="22"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Northeast</w:t>
            </w:r>
          </w:p>
        </w:tc>
        <w:tc>
          <w:tcPr/>
          <w:p>
            <w:pPr>
              <w:pStyle w:val="Compact"/>
              <w:jc w:val="right"/>
            </w:pPr>
            <w:r>
              <w:t xml:space="preserve">Prop.</w:t>
            </w:r>
          </w:p>
        </w:tc>
        <w:tc>
          <w:tcPr/>
          <w:p>
            <w:pPr>
              <w:pStyle w:val="Compact"/>
              <w:jc w:val="left"/>
            </w:pPr>
            <w:r>
              <w:t xml:space="preserve">Trips to Duval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Georgia</w:t>
            </w:r>
          </w:p>
        </w:tc>
        <w:tc>
          <w:tcPr/>
          <w:p>
            <w:pPr>
              <w:pStyle w:val="Compact"/>
              <w:jc w:val="right"/>
            </w:pPr>
            <w:r>
              <w:t xml:space="preserve">0.381</w:t>
            </w:r>
          </w:p>
        </w:tc>
        <w:tc>
          <w:tcPr/>
          <w:p>
            <w:pPr>
              <w:pStyle w:val="Compact"/>
              <w:jc w:val="left"/>
            </w:pPr>
            <w:r>
              <w:t xml:space="preserve">Georgia</w:t>
            </w:r>
          </w:p>
        </w:tc>
        <w:tc>
          <w:tcPr/>
          <w:p>
            <w:pPr>
              <w:pStyle w:val="Compact"/>
              <w:jc w:val="right"/>
            </w:pPr>
            <w:r>
              <w:t xml:space="preserve">0.307</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North Carolina</w:t>
            </w:r>
          </w:p>
        </w:tc>
        <w:tc>
          <w:tcPr/>
          <w:p>
            <w:pPr>
              <w:pStyle w:val="Compact"/>
              <w:jc w:val="right"/>
            </w:pPr>
            <w:r>
              <w:t xml:space="preserve">0.077</w:t>
            </w:r>
          </w:p>
        </w:tc>
        <w:tc>
          <w:tcPr/>
          <w:p>
            <w:pPr>
              <w:pStyle w:val="Compact"/>
              <w:jc w:val="left"/>
            </w:pPr>
            <w:r>
              <w:t xml:space="preserve">North Carolina</w:t>
            </w:r>
          </w:p>
        </w:tc>
        <w:tc>
          <w:tcPr/>
          <w:p>
            <w:pPr>
              <w:pStyle w:val="Compact"/>
              <w:jc w:val="right"/>
            </w:pPr>
            <w:r>
              <w:t xml:space="preserve">0.086</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South Carolina</w:t>
            </w:r>
          </w:p>
        </w:tc>
        <w:tc>
          <w:tcPr/>
          <w:p>
            <w:pPr>
              <w:pStyle w:val="Compact"/>
              <w:jc w:val="right"/>
            </w:pPr>
            <w:r>
              <w:t xml:space="preserve">0.070</w:t>
            </w:r>
          </w:p>
        </w:tc>
        <w:tc>
          <w:tcPr/>
          <w:p>
            <w:pPr>
              <w:pStyle w:val="Compact"/>
              <w:jc w:val="left"/>
            </w:pPr>
            <w:r>
              <w:t xml:space="preserve">South Carolina</w:t>
            </w:r>
          </w:p>
        </w:tc>
        <w:tc>
          <w:tcPr/>
          <w:p>
            <w:pPr>
              <w:pStyle w:val="Compact"/>
              <w:jc w:val="right"/>
            </w:pPr>
            <w:r>
              <w:t xml:space="preserve">0.072</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Tennessee</w:t>
            </w:r>
          </w:p>
        </w:tc>
        <w:tc>
          <w:tcPr/>
          <w:p>
            <w:pPr>
              <w:pStyle w:val="Compact"/>
              <w:jc w:val="right"/>
            </w:pPr>
            <w:r>
              <w:t xml:space="preserve">0.050</w:t>
            </w:r>
          </w:p>
        </w:tc>
        <w:tc>
          <w:tcPr/>
          <w:p>
            <w:pPr>
              <w:pStyle w:val="Compact"/>
              <w:jc w:val="left"/>
            </w:pPr>
            <w:r>
              <w:t xml:space="preserve">Tennessee</w:t>
            </w:r>
          </w:p>
        </w:tc>
        <w:tc>
          <w:tcPr/>
          <w:p>
            <w:pPr>
              <w:pStyle w:val="Compact"/>
              <w:jc w:val="right"/>
            </w:pPr>
            <w:r>
              <w:t xml:space="preserve">0.055</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Ohio</w:t>
            </w:r>
          </w:p>
        </w:tc>
        <w:tc>
          <w:tcPr/>
          <w:p>
            <w:pPr>
              <w:pStyle w:val="Compact"/>
              <w:jc w:val="right"/>
            </w:pPr>
            <w:r>
              <w:t xml:space="preserve">0.034</w:t>
            </w:r>
          </w:p>
        </w:tc>
        <w:tc>
          <w:tcPr/>
          <w:p>
            <w:pPr>
              <w:pStyle w:val="Compact"/>
              <w:jc w:val="left"/>
            </w:pPr>
            <w:r>
              <w:t xml:space="preserve">Texas</w:t>
            </w:r>
          </w:p>
        </w:tc>
        <w:tc>
          <w:tcPr/>
          <w:p>
            <w:pPr>
              <w:pStyle w:val="Compact"/>
              <w:jc w:val="right"/>
            </w:pPr>
            <w:r>
              <w:t xml:space="preserve">0.043</w:t>
            </w:r>
          </w:p>
        </w:tc>
      </w:tr>
    </w:tbl>
    <w:p>
      <w:pPr>
        <w:pStyle w:val="BodyText"/>
      </w:pPr>
      <w:r>
        <w:rPr>
          <w:bCs/>
          <w:b/>
        </w:rPr>
        <w:t xml:space="preserve">Table 1. The origins of out-of-state angler trips for Florida, the region, and specifically Duval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Duval County. Comparing the columns shows how Duval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2"/>
    <w:bookmarkStart w:id="23"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Clay</w:t>
            </w:r>
          </w:p>
        </w:tc>
        <w:tc>
          <w:tcPr/>
          <w:p>
            <w:pPr>
              <w:pStyle w:val="Compact"/>
              <w:jc w:val="right"/>
            </w:pPr>
            <w:r>
              <w:t xml:space="preserve">0.305</w:t>
            </w:r>
          </w:p>
        </w:tc>
        <w:tc>
          <w:tcPr/>
          <w:p>
            <w:pPr>
              <w:pStyle w:val="Compact"/>
              <w:jc w:val="left"/>
            </w:pPr>
            <w:r>
              <w:t xml:space="preserve">Duval</w:t>
            </w:r>
          </w:p>
        </w:tc>
        <w:tc>
          <w:tcPr/>
          <w:p>
            <w:pPr>
              <w:pStyle w:val="Compact"/>
              <w:jc w:val="right"/>
            </w:pPr>
            <w:r>
              <w:t xml:space="preserve">0.769</w:t>
            </w:r>
          </w:p>
        </w:tc>
      </w:tr>
      <w:tr>
        <w:tc>
          <w:tcPr/>
          <w:p>
            <w:pPr>
              <w:pStyle w:val="Compact"/>
              <w:jc w:val="left"/>
            </w:pPr>
            <w:r>
              <w:t xml:space="preserve">Nassau</w:t>
            </w:r>
          </w:p>
        </w:tc>
        <w:tc>
          <w:tcPr/>
          <w:p>
            <w:pPr>
              <w:pStyle w:val="Compact"/>
              <w:jc w:val="right"/>
            </w:pPr>
            <w:r>
              <w:t xml:space="preserve">0.215</w:t>
            </w:r>
          </w:p>
        </w:tc>
        <w:tc>
          <w:tcPr/>
          <w:p>
            <w:pPr>
              <w:pStyle w:val="Compact"/>
              <w:jc w:val="left"/>
            </w:pPr>
            <w:r>
              <w:t xml:space="preserve">Clay</w:t>
            </w:r>
          </w:p>
        </w:tc>
        <w:tc>
          <w:tcPr/>
          <w:p>
            <w:pPr>
              <w:pStyle w:val="Compact"/>
              <w:jc w:val="right"/>
            </w:pPr>
            <w:r>
              <w:t xml:space="preserve">0.071</w:t>
            </w:r>
          </w:p>
        </w:tc>
      </w:tr>
      <w:tr>
        <w:tc>
          <w:tcPr/>
          <w:p>
            <w:pPr>
              <w:pStyle w:val="Compact"/>
              <w:jc w:val="left"/>
            </w:pPr>
            <w:r>
              <w:t xml:space="preserve">St Johns</w:t>
            </w:r>
          </w:p>
        </w:tc>
        <w:tc>
          <w:tcPr/>
          <w:p>
            <w:pPr>
              <w:pStyle w:val="Compact"/>
              <w:jc w:val="right"/>
            </w:pPr>
            <w:r>
              <w:t xml:space="preserve">0.205</w:t>
            </w:r>
          </w:p>
        </w:tc>
        <w:tc>
          <w:tcPr/>
          <w:p>
            <w:pPr>
              <w:pStyle w:val="Compact"/>
              <w:jc w:val="left"/>
            </w:pPr>
            <w:r>
              <w:t xml:space="preserve">Nassau</w:t>
            </w:r>
          </w:p>
        </w:tc>
        <w:tc>
          <w:tcPr/>
          <w:p>
            <w:pPr>
              <w:pStyle w:val="Compact"/>
              <w:jc w:val="right"/>
            </w:pPr>
            <w:r>
              <w:t xml:space="preserve">0.050</w:t>
            </w:r>
          </w:p>
        </w:tc>
      </w:tr>
      <w:tr>
        <w:tc>
          <w:tcPr/>
          <w:p>
            <w:pPr>
              <w:pStyle w:val="Compact"/>
              <w:jc w:val="left"/>
            </w:pPr>
            <w:r>
              <w:t xml:space="preserve">Baker</w:t>
            </w:r>
          </w:p>
        </w:tc>
        <w:tc>
          <w:tcPr/>
          <w:p>
            <w:pPr>
              <w:pStyle w:val="Compact"/>
              <w:jc w:val="right"/>
            </w:pPr>
            <w:r>
              <w:t xml:space="preserve">0.067</w:t>
            </w:r>
          </w:p>
        </w:tc>
        <w:tc>
          <w:tcPr/>
          <w:p>
            <w:pPr>
              <w:pStyle w:val="Compact"/>
              <w:jc w:val="left"/>
            </w:pPr>
            <w:r>
              <w:t xml:space="preserve">St Johns</w:t>
            </w:r>
          </w:p>
        </w:tc>
        <w:tc>
          <w:tcPr/>
          <w:p>
            <w:pPr>
              <w:pStyle w:val="Compact"/>
              <w:jc w:val="right"/>
            </w:pPr>
            <w:r>
              <w:t xml:space="preserve">0.047</w:t>
            </w:r>
          </w:p>
        </w:tc>
      </w:tr>
      <w:tr>
        <w:tc>
          <w:tcPr/>
          <w:p>
            <w:pPr>
              <w:pStyle w:val="Compact"/>
              <w:jc w:val="left"/>
            </w:pPr>
            <w:r>
              <w:t xml:space="preserve">Franklin</w:t>
            </w:r>
          </w:p>
        </w:tc>
        <w:tc>
          <w:tcPr/>
          <w:p>
            <w:pPr>
              <w:pStyle w:val="Compact"/>
              <w:jc w:val="right"/>
            </w:pPr>
            <w:r>
              <w:t xml:space="preserve">0.023</w:t>
            </w:r>
          </w:p>
        </w:tc>
        <w:tc>
          <w:tcPr/>
          <w:p>
            <w:pPr>
              <w:pStyle w:val="Compact"/>
              <w:jc w:val="left"/>
            </w:pPr>
            <w:r>
              <w:t xml:space="preserve">Baker</w:t>
            </w:r>
          </w:p>
        </w:tc>
        <w:tc>
          <w:tcPr/>
          <w:p>
            <w:pPr>
              <w:pStyle w:val="Compact"/>
              <w:jc w:val="right"/>
            </w:pPr>
            <w:r>
              <w:t xml:space="preserve">0.016</w:t>
            </w:r>
          </w:p>
        </w:tc>
      </w:tr>
    </w:tbl>
    <w:p>
      <w:pPr>
        <w:pStyle w:val="BodyText"/>
      </w:pPr>
      <w:r>
        <w:rPr>
          <w:bCs/>
          <w:b/>
        </w:rPr>
        <w:t xml:space="preserve">Table 2. The origins of Florida resident anglers fishing in Duval County, for 2011-2021.</w:t>
      </w:r>
      <w:r>
        <w:br/>
      </w:r>
      <w:r>
        <w:t xml:space="preserve">This table shows where Florida resident anglers come from when they fish Duval County.</w:t>
      </w:r>
      <w:r>
        <w:t xml:space="preserve"> </w:t>
      </w:r>
      <w:r>
        <w:rPr>
          <w:bCs/>
          <w:b/>
        </w:rPr>
        <w:t xml:space="preserve">Columns 1 &amp; 2</w:t>
      </w:r>
      <w:r>
        <w:rPr>
          <w:bCs/>
          <w:b/>
        </w:rPr>
        <w:t xml:space="preserve"> </w:t>
      </w:r>
      <w:r>
        <w:t xml:space="preserve"> </w:t>
      </w:r>
      <w:r>
        <w:t xml:space="preserve">show origins of trips in Duval County by anglers who are</w:t>
      </w:r>
      <w:r>
        <w:t xml:space="preserve"> </w:t>
      </w:r>
      <w:r>
        <w:rPr>
          <w:bCs/>
          <w:b/>
        </w:rPr>
        <w:t xml:space="preserve">not</w:t>
      </w:r>
      <w:r>
        <w:t xml:space="preserve"> </w:t>
      </w:r>
      <w:r>
        <w:t xml:space="preserve">residents of Duval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Duval County. This information can be used to identifying in-state advertising.</w:t>
      </w:r>
    </w:p>
    <w:p>
      <w:pPr>
        <w:pStyle w:val="BodyText"/>
      </w:pPr>
    </w:p>
    <w:bookmarkEnd w:id="23"/>
    <w:bookmarkEnd w:id="24"/>
    <w:bookmarkStart w:id="26" w:name="what-people-fish-for-in-duval-county"/>
    <w:p>
      <w:pPr>
        <w:pStyle w:val="Heading3"/>
      </w:pPr>
      <w:r>
        <w:t xml:space="preserve">What people fish for in Duval County</w:t>
      </w:r>
    </w:p>
    <w:bookmarkStart w:id="25"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626"/>
        <w:gridCol w:w="424"/>
        <w:gridCol w:w="1626"/>
        <w:gridCol w:w="424"/>
        <w:gridCol w:w="1626"/>
        <w:gridCol w:w="424"/>
        <w:gridCol w:w="1343"/>
        <w:gridCol w:w="424"/>
      </w:tblGrid>
      <w:tr>
        <w:trPr>
          <w:tblHeader w:val="true"/>
        </w:trPr>
        <w:tc>
          <w:tcPr/>
          <w:p>
            <w:pPr>
              <w:pStyle w:val="Compact"/>
              <w:jc w:val="left"/>
            </w:pPr>
            <w:r>
              <w:t xml:space="preserve">All Duval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0.356</w:t>
            </w:r>
          </w:p>
        </w:tc>
        <w:tc>
          <w:tcPr/>
          <w:p>
            <w:pPr>
              <w:pStyle w:val="Compact"/>
              <w:jc w:val="left"/>
            </w:pPr>
            <w:r>
              <w:t xml:space="preserve">No Target</w:t>
            </w:r>
          </w:p>
        </w:tc>
        <w:tc>
          <w:tcPr/>
          <w:p>
            <w:pPr>
              <w:pStyle w:val="Compact"/>
              <w:jc w:val="right"/>
            </w:pPr>
            <w:r>
              <w:t xml:space="preserve">0.358</w:t>
            </w:r>
          </w:p>
        </w:tc>
        <w:tc>
          <w:tcPr/>
          <w:p>
            <w:pPr>
              <w:pStyle w:val="Compact"/>
              <w:jc w:val="left"/>
            </w:pPr>
            <w:r>
              <w:t xml:space="preserve">No Target</w:t>
            </w:r>
          </w:p>
        </w:tc>
        <w:tc>
          <w:tcPr/>
          <w:p>
            <w:pPr>
              <w:pStyle w:val="Compact"/>
              <w:jc w:val="right"/>
            </w:pPr>
            <w:r>
              <w:t xml:space="preserve">0.350</w:t>
            </w:r>
          </w:p>
        </w:tc>
        <w:tc>
          <w:tcPr/>
          <w:p>
            <w:pPr>
              <w:pStyle w:val="Compact"/>
              <w:jc w:val="left"/>
            </w:pPr>
            <w:r>
              <w:t xml:space="preserve">No Target</w:t>
            </w:r>
          </w:p>
        </w:tc>
        <w:tc>
          <w:tcPr/>
          <w:p>
            <w:pPr>
              <w:pStyle w:val="Compact"/>
              <w:jc w:val="right"/>
            </w:pPr>
            <w:r>
              <w:t xml:space="preserve">0.417</w:t>
            </w:r>
          </w:p>
        </w:tc>
      </w:tr>
      <w:tr>
        <w:tc>
          <w:tcPr/>
          <w:p>
            <w:pPr>
              <w:pStyle w:val="Compact"/>
              <w:jc w:val="left"/>
            </w:pPr>
            <w:r>
              <w:t xml:space="preserve">Red drum</w:t>
            </w:r>
          </w:p>
        </w:tc>
        <w:tc>
          <w:tcPr/>
          <w:p>
            <w:pPr>
              <w:pStyle w:val="Compact"/>
              <w:jc w:val="right"/>
            </w:pPr>
            <w:r>
              <w:t xml:space="preserve">0.276</w:t>
            </w:r>
          </w:p>
        </w:tc>
        <w:tc>
          <w:tcPr/>
          <w:p>
            <w:pPr>
              <w:pStyle w:val="Compact"/>
              <w:jc w:val="left"/>
            </w:pPr>
            <w:r>
              <w:t xml:space="preserve">Red drum</w:t>
            </w:r>
          </w:p>
        </w:tc>
        <w:tc>
          <w:tcPr/>
          <w:p>
            <w:pPr>
              <w:pStyle w:val="Compact"/>
              <w:jc w:val="right"/>
            </w:pPr>
            <w:r>
              <w:t xml:space="preserve">0.261</w:t>
            </w:r>
          </w:p>
        </w:tc>
        <w:tc>
          <w:tcPr/>
          <w:p>
            <w:pPr>
              <w:pStyle w:val="Compact"/>
              <w:jc w:val="left"/>
            </w:pPr>
            <w:r>
              <w:t xml:space="preserve">Red drum</w:t>
            </w:r>
          </w:p>
        </w:tc>
        <w:tc>
          <w:tcPr/>
          <w:p>
            <w:pPr>
              <w:pStyle w:val="Compact"/>
              <w:jc w:val="right"/>
            </w:pPr>
            <w:r>
              <w:t xml:space="preserve">0.313</w:t>
            </w:r>
          </w:p>
        </w:tc>
        <w:tc>
          <w:tcPr/>
          <w:p>
            <w:pPr>
              <w:pStyle w:val="Compact"/>
              <w:jc w:val="left"/>
            </w:pPr>
            <w:r>
              <w:t xml:space="preserve">Red drum</w:t>
            </w:r>
          </w:p>
        </w:tc>
        <w:tc>
          <w:tcPr/>
          <w:p>
            <w:pPr>
              <w:pStyle w:val="Compact"/>
              <w:jc w:val="right"/>
            </w:pPr>
            <w:r>
              <w:t xml:space="preserve">0.269</w:t>
            </w:r>
          </w:p>
        </w:tc>
      </w:tr>
      <w:tr>
        <w:tc>
          <w:tcPr/>
          <w:p>
            <w:pPr>
              <w:pStyle w:val="Compact"/>
              <w:jc w:val="left"/>
            </w:pPr>
            <w:r>
              <w:t xml:space="preserve">Sheepshead</w:t>
            </w:r>
          </w:p>
        </w:tc>
        <w:tc>
          <w:tcPr/>
          <w:p>
            <w:pPr>
              <w:pStyle w:val="Compact"/>
              <w:jc w:val="right"/>
            </w:pPr>
            <w:r>
              <w:t xml:space="preserve">0.073</w:t>
            </w:r>
          </w:p>
        </w:tc>
        <w:tc>
          <w:tcPr/>
          <w:p>
            <w:pPr>
              <w:pStyle w:val="Compact"/>
              <w:jc w:val="left"/>
            </w:pPr>
            <w:r>
              <w:t xml:space="preserve">Sheepshead</w:t>
            </w:r>
          </w:p>
        </w:tc>
        <w:tc>
          <w:tcPr/>
          <w:p>
            <w:pPr>
              <w:pStyle w:val="Compact"/>
              <w:jc w:val="right"/>
            </w:pPr>
            <w:r>
              <w:t xml:space="preserve">0.080</w:t>
            </w:r>
          </w:p>
        </w:tc>
        <w:tc>
          <w:tcPr/>
          <w:p>
            <w:pPr>
              <w:pStyle w:val="Compact"/>
              <w:jc w:val="left"/>
            </w:pPr>
            <w:r>
              <w:t xml:space="preserve">Spotted seatrout</w:t>
            </w:r>
          </w:p>
        </w:tc>
        <w:tc>
          <w:tcPr/>
          <w:p>
            <w:pPr>
              <w:pStyle w:val="Compact"/>
              <w:jc w:val="right"/>
            </w:pPr>
            <w:r>
              <w:t xml:space="preserve">0.074</w:t>
            </w:r>
          </w:p>
        </w:tc>
        <w:tc>
          <w:tcPr/>
          <w:p>
            <w:pPr>
              <w:pStyle w:val="Compact"/>
              <w:jc w:val="left"/>
            </w:pPr>
            <w:r>
              <w:t xml:space="preserve">Spotted seatrout</w:t>
            </w:r>
          </w:p>
        </w:tc>
        <w:tc>
          <w:tcPr/>
          <w:p>
            <w:pPr>
              <w:pStyle w:val="Compact"/>
              <w:jc w:val="right"/>
            </w:pPr>
            <w:r>
              <w:t xml:space="preserve">0.087</w:t>
            </w:r>
          </w:p>
        </w:tc>
      </w:tr>
      <w:tr>
        <w:tc>
          <w:tcPr/>
          <w:p>
            <w:pPr>
              <w:pStyle w:val="Compact"/>
              <w:jc w:val="left"/>
            </w:pPr>
            <w:r>
              <w:t xml:space="preserve">Spotted seatrout</w:t>
            </w:r>
          </w:p>
        </w:tc>
        <w:tc>
          <w:tcPr/>
          <w:p>
            <w:pPr>
              <w:pStyle w:val="Compact"/>
              <w:jc w:val="right"/>
            </w:pPr>
            <w:r>
              <w:t xml:space="preserve">0.072</w:t>
            </w:r>
          </w:p>
        </w:tc>
        <w:tc>
          <w:tcPr/>
          <w:p>
            <w:pPr>
              <w:pStyle w:val="Compact"/>
              <w:jc w:val="left"/>
            </w:pPr>
            <w:r>
              <w:t xml:space="preserve">Spotted seatrout</w:t>
            </w:r>
          </w:p>
        </w:tc>
        <w:tc>
          <w:tcPr/>
          <w:p>
            <w:pPr>
              <w:pStyle w:val="Compact"/>
              <w:jc w:val="right"/>
            </w:pPr>
            <w:r>
              <w:t xml:space="preserve">0.071</w:t>
            </w:r>
          </w:p>
        </w:tc>
        <w:tc>
          <w:tcPr/>
          <w:p>
            <w:pPr>
              <w:pStyle w:val="Compact"/>
              <w:jc w:val="left"/>
            </w:pPr>
            <w:r>
              <w:t xml:space="preserve">Sheepshead</w:t>
            </w:r>
          </w:p>
        </w:tc>
        <w:tc>
          <w:tcPr/>
          <w:p>
            <w:pPr>
              <w:pStyle w:val="Compact"/>
              <w:jc w:val="right"/>
            </w:pPr>
            <w:r>
              <w:t xml:space="preserve">0.056</w:t>
            </w:r>
          </w:p>
        </w:tc>
        <w:tc>
          <w:tcPr/>
          <w:p>
            <w:pPr>
              <w:pStyle w:val="Compact"/>
              <w:jc w:val="left"/>
            </w:pPr>
            <w:r>
              <w:t xml:space="preserve">King mackerel</w:t>
            </w:r>
          </w:p>
        </w:tc>
        <w:tc>
          <w:tcPr/>
          <w:p>
            <w:pPr>
              <w:pStyle w:val="Compact"/>
              <w:jc w:val="right"/>
            </w:pPr>
            <w:r>
              <w:t xml:space="preserve">0.046</w:t>
            </w:r>
          </w:p>
        </w:tc>
      </w:tr>
      <w:tr>
        <w:tc>
          <w:tcPr/>
          <w:p>
            <w:pPr>
              <w:pStyle w:val="Compact"/>
              <w:jc w:val="left"/>
            </w:pPr>
            <w:r>
              <w:t xml:space="preserve">Lefteye flounder genus</w:t>
            </w:r>
          </w:p>
        </w:tc>
        <w:tc>
          <w:tcPr/>
          <w:p>
            <w:pPr>
              <w:pStyle w:val="Compact"/>
              <w:jc w:val="right"/>
            </w:pPr>
            <w:r>
              <w:t xml:space="preserve">0.056</w:t>
            </w:r>
          </w:p>
        </w:tc>
        <w:tc>
          <w:tcPr/>
          <w:p>
            <w:pPr>
              <w:pStyle w:val="Compact"/>
              <w:jc w:val="left"/>
            </w:pPr>
            <w:r>
              <w:t xml:space="preserve">Lefteye flounder genus</w:t>
            </w:r>
          </w:p>
        </w:tc>
        <w:tc>
          <w:tcPr/>
          <w:p>
            <w:pPr>
              <w:pStyle w:val="Compact"/>
              <w:jc w:val="right"/>
            </w:pPr>
            <w:r>
              <w:t xml:space="preserve">0.059</w:t>
            </w:r>
          </w:p>
        </w:tc>
        <w:tc>
          <w:tcPr/>
          <w:p>
            <w:pPr>
              <w:pStyle w:val="Compact"/>
              <w:jc w:val="left"/>
            </w:pPr>
            <w:r>
              <w:t xml:space="preserve">Lefteye flounder genus</w:t>
            </w:r>
          </w:p>
        </w:tc>
        <w:tc>
          <w:tcPr/>
          <w:p>
            <w:pPr>
              <w:pStyle w:val="Compact"/>
              <w:jc w:val="right"/>
            </w:pPr>
            <w:r>
              <w:t xml:space="preserve">0.049</w:t>
            </w:r>
          </w:p>
        </w:tc>
        <w:tc>
          <w:tcPr/>
          <w:p>
            <w:pPr>
              <w:pStyle w:val="Compact"/>
              <w:jc w:val="left"/>
            </w:pPr>
            <w:r>
              <w:t xml:space="preserve">Kingfish genus</w:t>
            </w:r>
          </w:p>
        </w:tc>
        <w:tc>
          <w:tcPr/>
          <w:p>
            <w:pPr>
              <w:pStyle w:val="Compact"/>
              <w:jc w:val="right"/>
            </w:pPr>
            <w:r>
              <w:t xml:space="preserve">0.040</w:t>
            </w:r>
          </w:p>
        </w:tc>
      </w:tr>
    </w:tbl>
    <w:p>
      <w:pPr>
        <w:pStyle w:val="BodyText"/>
      </w:pPr>
      <w:r>
        <w:rPr>
          <w:bCs/>
          <w:b/>
        </w:rPr>
        <w:t xml:space="preserve">Table 3. Proportions of species targeted by fishing trips made in Duval County by anglers from various origins, for 2011-2021.</w:t>
      </w:r>
      <w:r>
        <w:br/>
      </w:r>
      <w:r>
        <w:t xml:space="preserve">This table shows the top 5 species anglers fish in Duval County, depending on where they live.</w:t>
      </w:r>
      <w:r>
        <w:t xml:space="preserve"> </w:t>
      </w:r>
      <w:r>
        <w:rPr>
          <w:bCs/>
          <w:b/>
        </w:rPr>
        <w:t xml:space="preserve">Columns 1-2</w:t>
      </w:r>
      <w:r>
        <w:t xml:space="preserve"> </w:t>
      </w:r>
      <w:r>
        <w:t xml:space="preserve">shows what anglers fish for in Duval County regardless of where they come from.</w:t>
      </w:r>
      <w:r>
        <w:t xml:space="preserve"> </w:t>
      </w:r>
      <w:r>
        <w:rPr>
          <w:bCs/>
          <w:b/>
        </w:rPr>
        <w:t xml:space="preserve">Columns 3-4</w:t>
      </w:r>
      <w:r>
        <w:t xml:space="preserve"> </w:t>
      </w:r>
      <w:r>
        <w:t xml:space="preserve">shows what Duval County resident anglers fish for,</w:t>
      </w:r>
      <w:r>
        <w:t xml:space="preserve"> </w:t>
      </w:r>
      <w:r>
        <w:rPr>
          <w:bCs/>
          <w:b/>
        </w:rPr>
        <w:t xml:space="preserve">Columns 5-6</w:t>
      </w:r>
      <w:r>
        <w:t xml:space="preserve"> </w:t>
      </w:r>
      <w:r>
        <w:t xml:space="preserve">shows what anglers who live in Florida but not Duval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23" Type="http://schemas.openxmlformats.org/officeDocument/2006/relationships/customXml" Target="../customXml/item3.xml"/><Relationship Id="rId4" Type="http://schemas.openxmlformats.org/officeDocument/2006/relationships/webSettings" Target="webSettings.xml"/><Relationship Id="rId22"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1380E-34B5-4554-860D-B074A783E858}"/>
</file>

<file path=customXml/itemProps2.xml><?xml version="1.0" encoding="utf-8"?>
<ds:datastoreItem xmlns:ds="http://schemas.openxmlformats.org/officeDocument/2006/customXml" ds:itemID="{B40BAF9C-1C1F-44B4-B4F4-E6963ADDD4B6}"/>
</file>

<file path=customXml/itemProps3.xml><?xml version="1.0" encoding="utf-8"?>
<ds:datastoreItem xmlns:ds="http://schemas.openxmlformats.org/officeDocument/2006/customXml" ds:itemID="{0B615749-D50F-4390-9BAC-0FCF2C838E6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Duval County</dc:title>
  <dc:creator>Prepared for Duval County by Ed Camp (edvcamp@ufl.edu) Assistant Professor University of Florida</dc:creator>
  <cp:keywords/>
  <dcterms:created xsi:type="dcterms:W3CDTF">2023-01-24T15:02:03Z</dcterms:created>
  <dcterms:modified xsi:type="dcterms:W3CDTF">2023-01-24T15:02:03Z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