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Hernando</w:t>
      </w:r>
      <w:r>
        <w:t xml:space="preserve"> </w:t>
      </w:r>
      <w:r>
        <w:t xml:space="preserve">County</w:t>
      </w:r>
    </w:p>
    <w:p>
      <w:pPr>
        <w:pStyle w:val="Author"/>
      </w:pPr>
      <w:r>
        <w:t xml:space="preserve">Prepared</w:t>
      </w:r>
      <w:r>
        <w:t xml:space="preserve"> </w:t>
      </w:r>
      <w:r>
        <w:t xml:space="preserve">for</w:t>
      </w:r>
      <w:r>
        <w:t xml:space="preserve"> </w:t>
      </w:r>
      <w:r>
        <w:t xml:space="preserve">Hernando</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Brittany</w:t>
      </w:r>
      <w:r>
        <w:t xml:space="preserve"> </w:t>
      </w:r>
      <w:r>
        <w:t xml:space="preserve">Hall-Scharf,</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Hernando</w:t>
      </w:r>
      <w:r>
        <w:t xml:space="preserve"> </w:t>
      </w:r>
      <w:r>
        <w:t xml:space="preserve">County,</w:t>
      </w:r>
      <w:r>
        <w:t xml:space="preserve"> </w:t>
      </w:r>
      <w:hyperlink r:id="rId21">
        <w:r>
          <w:rPr>
            <w:rStyle w:val="Hyperlink"/>
          </w:rPr>
          <w:t xml:space="preserve">bhallscharf@ufl.edu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Hernando County</w:t>
      </w:r>
      <w:r>
        <w:t xml:space="preserve">. The report describes information about where people come from when they fish Hernando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Hernando County</w:t>
      </w:r>
      <w:r>
        <w:t xml:space="preserve">, which Brittany Hall-Scharf can provide you.</w:t>
      </w:r>
    </w:p>
    <w:p>
      <w:pPr>
        <w:pStyle w:val="BodyText"/>
      </w:pPr>
    </w:p>
    <w:bookmarkEnd w:id="22"/>
    <w:bookmarkStart w:id="25" w:name="X908b2e3bfaf3b81b5bee1428ca397d4fbd0d842"/>
    <w:p>
      <w:pPr>
        <w:pStyle w:val="Heading3"/>
      </w:pPr>
      <w:r>
        <w:t xml:space="preserve">Where people come from to fish Hernando County</w:t>
      </w:r>
    </w:p>
    <w:bookmarkStart w:id="23" w:name="X29d515638b5193d5d235efd835a9f2ae0e3c66e"/>
    <w:p>
      <w:pPr>
        <w:pStyle w:val="Heading4"/>
      </w:pPr>
      <w:r>
        <w:t xml:space="preserve">Table 1: Out-of-state angler origins comparison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Big Bend</w:t>
            </w:r>
          </w:p>
        </w:tc>
        <w:tc>
          <w:tcPr/>
          <w:p>
            <w:pPr>
              <w:pStyle w:val="Compact"/>
              <w:jc w:val="right"/>
            </w:pPr>
            <w:r>
              <w:t xml:space="preserve">Prop.</w:t>
            </w:r>
          </w:p>
        </w:tc>
        <w:tc>
          <w:tcPr/>
          <w:p>
            <w:pPr>
              <w:pStyle w:val="Compact"/>
              <w:jc w:val="left"/>
            </w:pPr>
            <w:r>
              <w:t xml:space="preserve">Trips to Hernando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Georgia</w:t>
            </w:r>
          </w:p>
        </w:tc>
        <w:tc>
          <w:tcPr/>
          <w:p>
            <w:pPr>
              <w:pStyle w:val="Compact"/>
              <w:jc w:val="right"/>
            </w:pPr>
            <w:r>
              <w:t xml:space="preserve">0.166</w:t>
            </w:r>
          </w:p>
        </w:tc>
        <w:tc>
          <w:tcPr/>
          <w:p>
            <w:pPr>
              <w:pStyle w:val="Compact"/>
              <w:jc w:val="left"/>
            </w:pPr>
            <w:r>
              <w:t xml:space="preserve">Michigan</w:t>
            </w:r>
          </w:p>
        </w:tc>
        <w:tc>
          <w:tcPr/>
          <w:p>
            <w:pPr>
              <w:pStyle w:val="Compact"/>
              <w:jc w:val="right"/>
            </w:pPr>
            <w:r>
              <w:t xml:space="preserve">0.090</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Illinois</w:t>
            </w:r>
          </w:p>
        </w:tc>
        <w:tc>
          <w:tcPr/>
          <w:p>
            <w:pPr>
              <w:pStyle w:val="Compact"/>
              <w:jc w:val="right"/>
            </w:pPr>
            <w:r>
              <w:t xml:space="preserve">0.081</w:t>
            </w:r>
          </w:p>
        </w:tc>
        <w:tc>
          <w:tcPr/>
          <w:p>
            <w:pPr>
              <w:pStyle w:val="Compact"/>
              <w:jc w:val="left"/>
            </w:pPr>
            <w:r>
              <w:t xml:space="preserve">Pennsylvania</w:t>
            </w:r>
          </w:p>
        </w:tc>
        <w:tc>
          <w:tcPr/>
          <w:p>
            <w:pPr>
              <w:pStyle w:val="Compact"/>
              <w:jc w:val="right"/>
            </w:pPr>
            <w:r>
              <w:t xml:space="preserve">0.090</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Michigan</w:t>
            </w:r>
          </w:p>
        </w:tc>
        <w:tc>
          <w:tcPr/>
          <w:p>
            <w:pPr>
              <w:pStyle w:val="Compact"/>
              <w:jc w:val="right"/>
            </w:pPr>
            <w:r>
              <w:t xml:space="preserve">0.080</w:t>
            </w:r>
          </w:p>
        </w:tc>
        <w:tc>
          <w:tcPr/>
          <w:p>
            <w:pPr>
              <w:pStyle w:val="Compact"/>
              <w:jc w:val="left"/>
            </w:pPr>
            <w:r>
              <w:t xml:space="preserve">Illinois</w:t>
            </w:r>
          </w:p>
        </w:tc>
        <w:tc>
          <w:tcPr/>
          <w:p>
            <w:pPr>
              <w:pStyle w:val="Compact"/>
              <w:jc w:val="right"/>
            </w:pPr>
            <w:r>
              <w:t xml:space="preserve">0.086</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Pennsylvania</w:t>
            </w:r>
          </w:p>
        </w:tc>
        <w:tc>
          <w:tcPr/>
          <w:p>
            <w:pPr>
              <w:pStyle w:val="Compact"/>
              <w:jc w:val="right"/>
            </w:pPr>
            <w:r>
              <w:t xml:space="preserve">0.065</w:t>
            </w:r>
          </w:p>
        </w:tc>
        <w:tc>
          <w:tcPr/>
          <w:p>
            <w:pPr>
              <w:pStyle w:val="Compact"/>
              <w:jc w:val="left"/>
            </w:pPr>
            <w:r>
              <w:t xml:space="preserve">New York</w:t>
            </w:r>
          </w:p>
        </w:tc>
        <w:tc>
          <w:tcPr/>
          <w:p>
            <w:pPr>
              <w:pStyle w:val="Compact"/>
              <w:jc w:val="right"/>
            </w:pPr>
            <w:r>
              <w:t xml:space="preserve">0.077</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New York</w:t>
            </w:r>
          </w:p>
        </w:tc>
        <w:tc>
          <w:tcPr/>
          <w:p>
            <w:pPr>
              <w:pStyle w:val="Compact"/>
              <w:jc w:val="right"/>
            </w:pPr>
            <w:r>
              <w:t xml:space="preserve">0.058</w:t>
            </w:r>
          </w:p>
        </w:tc>
        <w:tc>
          <w:tcPr/>
          <w:p>
            <w:pPr>
              <w:pStyle w:val="Compact"/>
              <w:jc w:val="left"/>
            </w:pPr>
            <w:r>
              <w:t xml:space="preserve">Georgia</w:t>
            </w:r>
          </w:p>
        </w:tc>
        <w:tc>
          <w:tcPr/>
          <w:p>
            <w:pPr>
              <w:pStyle w:val="Compact"/>
              <w:jc w:val="right"/>
            </w:pPr>
            <w:r>
              <w:t xml:space="preserve">0.059</w:t>
            </w:r>
          </w:p>
        </w:tc>
      </w:tr>
    </w:tbl>
    <w:p>
      <w:pPr>
        <w:pStyle w:val="BodyText"/>
      </w:pPr>
      <w:r>
        <w:rPr>
          <w:bCs/>
          <w:b/>
        </w:rPr>
        <w:t xml:space="preserve">Table 1. The origins of out-of-state angler trips for Florida, the region, and specifically Hernando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Hernando County. Comparing the columns shows how Hernando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Pasco</w:t>
            </w:r>
          </w:p>
        </w:tc>
        <w:tc>
          <w:tcPr/>
          <w:p>
            <w:pPr>
              <w:pStyle w:val="Compact"/>
              <w:jc w:val="right"/>
            </w:pPr>
            <w:r>
              <w:t xml:space="preserve">0.483</w:t>
            </w:r>
          </w:p>
        </w:tc>
        <w:tc>
          <w:tcPr/>
          <w:p>
            <w:pPr>
              <w:pStyle w:val="Compact"/>
              <w:jc w:val="left"/>
            </w:pPr>
            <w:r>
              <w:t xml:space="preserve">Hernando</w:t>
            </w:r>
          </w:p>
        </w:tc>
        <w:tc>
          <w:tcPr/>
          <w:p>
            <w:pPr>
              <w:pStyle w:val="Compact"/>
              <w:jc w:val="right"/>
            </w:pPr>
            <w:r>
              <w:t xml:space="preserve">0.702</w:t>
            </w:r>
          </w:p>
        </w:tc>
      </w:tr>
      <w:tr>
        <w:tc>
          <w:tcPr/>
          <w:p>
            <w:pPr>
              <w:pStyle w:val="Compact"/>
              <w:jc w:val="left"/>
            </w:pPr>
            <w:r>
              <w:t xml:space="preserve">Hillsborough</w:t>
            </w:r>
          </w:p>
        </w:tc>
        <w:tc>
          <w:tcPr/>
          <w:p>
            <w:pPr>
              <w:pStyle w:val="Compact"/>
              <w:jc w:val="right"/>
            </w:pPr>
            <w:r>
              <w:t xml:space="preserve">0.108</w:t>
            </w:r>
          </w:p>
        </w:tc>
        <w:tc>
          <w:tcPr/>
          <w:p>
            <w:pPr>
              <w:pStyle w:val="Compact"/>
              <w:jc w:val="left"/>
            </w:pPr>
            <w:r>
              <w:t xml:space="preserve">Pasco</w:t>
            </w:r>
          </w:p>
        </w:tc>
        <w:tc>
          <w:tcPr/>
          <w:p>
            <w:pPr>
              <w:pStyle w:val="Compact"/>
              <w:jc w:val="right"/>
            </w:pPr>
            <w:r>
              <w:t xml:space="preserve">0.144</w:t>
            </w:r>
          </w:p>
        </w:tc>
      </w:tr>
      <w:tr>
        <w:tc>
          <w:tcPr/>
          <w:p>
            <w:pPr>
              <w:pStyle w:val="Compact"/>
              <w:jc w:val="left"/>
            </w:pPr>
            <w:r>
              <w:t xml:space="preserve">Lake</w:t>
            </w:r>
          </w:p>
        </w:tc>
        <w:tc>
          <w:tcPr/>
          <w:p>
            <w:pPr>
              <w:pStyle w:val="Compact"/>
              <w:jc w:val="right"/>
            </w:pPr>
            <w:r>
              <w:t xml:space="preserve">0.084</w:t>
            </w:r>
          </w:p>
        </w:tc>
        <w:tc>
          <w:tcPr/>
          <w:p>
            <w:pPr>
              <w:pStyle w:val="Compact"/>
              <w:jc w:val="left"/>
            </w:pPr>
            <w:r>
              <w:t xml:space="preserve">Hillsborough</w:t>
            </w:r>
          </w:p>
        </w:tc>
        <w:tc>
          <w:tcPr/>
          <w:p>
            <w:pPr>
              <w:pStyle w:val="Compact"/>
              <w:jc w:val="right"/>
            </w:pPr>
            <w:r>
              <w:t xml:space="preserve">0.032</w:t>
            </w:r>
          </w:p>
        </w:tc>
      </w:tr>
      <w:tr>
        <w:tc>
          <w:tcPr/>
          <w:p>
            <w:pPr>
              <w:pStyle w:val="Compact"/>
              <w:jc w:val="left"/>
            </w:pPr>
            <w:r>
              <w:t xml:space="preserve">Citrus</w:t>
            </w:r>
          </w:p>
        </w:tc>
        <w:tc>
          <w:tcPr/>
          <w:p>
            <w:pPr>
              <w:pStyle w:val="Compact"/>
              <w:jc w:val="right"/>
            </w:pPr>
            <w:r>
              <w:t xml:space="preserve">0.066</w:t>
            </w:r>
          </w:p>
        </w:tc>
        <w:tc>
          <w:tcPr/>
          <w:p>
            <w:pPr>
              <w:pStyle w:val="Compact"/>
              <w:jc w:val="left"/>
            </w:pPr>
            <w:r>
              <w:t xml:space="preserve">Lake</w:t>
            </w:r>
          </w:p>
        </w:tc>
        <w:tc>
          <w:tcPr/>
          <w:p>
            <w:pPr>
              <w:pStyle w:val="Compact"/>
              <w:jc w:val="right"/>
            </w:pPr>
            <w:r>
              <w:t xml:space="preserve">0.025</w:t>
            </w:r>
          </w:p>
        </w:tc>
      </w:tr>
      <w:tr>
        <w:tc>
          <w:tcPr/>
          <w:p>
            <w:pPr>
              <w:pStyle w:val="Compact"/>
              <w:jc w:val="left"/>
            </w:pPr>
            <w:r>
              <w:t xml:space="preserve">Sumter</w:t>
            </w:r>
          </w:p>
        </w:tc>
        <w:tc>
          <w:tcPr/>
          <w:p>
            <w:pPr>
              <w:pStyle w:val="Compact"/>
              <w:jc w:val="right"/>
            </w:pPr>
            <w:r>
              <w:t xml:space="preserve">0.062</w:t>
            </w:r>
          </w:p>
        </w:tc>
        <w:tc>
          <w:tcPr/>
          <w:p>
            <w:pPr>
              <w:pStyle w:val="Compact"/>
              <w:jc w:val="left"/>
            </w:pPr>
            <w:r>
              <w:t xml:space="preserve">Citrus</w:t>
            </w:r>
          </w:p>
        </w:tc>
        <w:tc>
          <w:tcPr/>
          <w:p>
            <w:pPr>
              <w:pStyle w:val="Compact"/>
              <w:jc w:val="right"/>
            </w:pPr>
            <w:r>
              <w:t xml:space="preserve">0.020</w:t>
            </w:r>
          </w:p>
        </w:tc>
      </w:tr>
    </w:tbl>
    <w:p>
      <w:pPr>
        <w:pStyle w:val="BodyText"/>
      </w:pPr>
      <w:r>
        <w:rPr>
          <w:bCs/>
          <w:b/>
        </w:rPr>
        <w:t xml:space="preserve">Table 2. The origins of Florida resident anglers fishing in Hernando County, for 2011-2021.</w:t>
      </w:r>
      <w:r>
        <w:br/>
      </w:r>
      <w:r>
        <w:t xml:space="preserve">This table shows where Florida resident anglers come from when they fish Hernando County.</w:t>
      </w:r>
      <w:r>
        <w:t xml:space="preserve"> </w:t>
      </w:r>
      <w:r>
        <w:rPr>
          <w:bCs/>
          <w:b/>
        </w:rPr>
        <w:t xml:space="preserve">Columns 1 &amp; 2</w:t>
      </w:r>
      <w:r>
        <w:rPr>
          <w:bCs/>
          <w:b/>
        </w:rPr>
        <w:t xml:space="preserve"> </w:t>
      </w:r>
      <w:r>
        <w:t xml:space="preserve"> </w:t>
      </w:r>
      <w:r>
        <w:t xml:space="preserve">show origins of trips in Hernando County by anglers who are</w:t>
      </w:r>
      <w:r>
        <w:t xml:space="preserve"> </w:t>
      </w:r>
      <w:r>
        <w:rPr>
          <w:bCs/>
          <w:b/>
        </w:rPr>
        <w:t xml:space="preserve">not</w:t>
      </w:r>
      <w:r>
        <w:t xml:space="preserve"> </w:t>
      </w:r>
      <w:r>
        <w:t xml:space="preserve">residents of Hernando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Hernando County. This information can be used to identifying in-state advertising.</w:t>
      </w:r>
    </w:p>
    <w:p>
      <w:pPr>
        <w:pStyle w:val="BodyText"/>
      </w:pPr>
    </w:p>
    <w:bookmarkEnd w:id="24"/>
    <w:bookmarkEnd w:id="25"/>
    <w:bookmarkStart w:id="27" w:name="what-people-fish-for-in-hernando-county"/>
    <w:p>
      <w:pPr>
        <w:pStyle w:val="Heading3"/>
      </w:pPr>
      <w:r>
        <w:t xml:space="preserve">What people fish for in Hernando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942"/>
        <w:gridCol w:w="448"/>
        <w:gridCol w:w="1270"/>
        <w:gridCol w:w="448"/>
        <w:gridCol w:w="1494"/>
        <w:gridCol w:w="448"/>
        <w:gridCol w:w="1419"/>
        <w:gridCol w:w="448"/>
      </w:tblGrid>
      <w:tr>
        <w:trPr>
          <w:tblHeader w:val="true"/>
        </w:trPr>
        <w:tc>
          <w:tcPr/>
          <w:p>
            <w:pPr>
              <w:pStyle w:val="Compact"/>
              <w:jc w:val="left"/>
            </w:pPr>
            <w:r>
              <w:t xml:space="preserve">All Hernando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0.407</w:t>
            </w:r>
          </w:p>
        </w:tc>
        <w:tc>
          <w:tcPr/>
          <w:p>
            <w:pPr>
              <w:pStyle w:val="Compact"/>
              <w:jc w:val="left"/>
            </w:pPr>
            <w:r>
              <w:t xml:space="preserve">No Target</w:t>
            </w:r>
          </w:p>
        </w:tc>
        <w:tc>
          <w:tcPr/>
          <w:p>
            <w:pPr>
              <w:pStyle w:val="Compact"/>
              <w:jc w:val="right"/>
            </w:pPr>
            <w:r>
              <w:t xml:space="preserve">0.418</w:t>
            </w:r>
          </w:p>
        </w:tc>
        <w:tc>
          <w:tcPr/>
          <w:p>
            <w:pPr>
              <w:pStyle w:val="Compact"/>
              <w:jc w:val="left"/>
            </w:pPr>
            <w:r>
              <w:t xml:space="preserve">No Target</w:t>
            </w:r>
          </w:p>
        </w:tc>
        <w:tc>
          <w:tcPr/>
          <w:p>
            <w:pPr>
              <w:pStyle w:val="Compact"/>
              <w:jc w:val="right"/>
            </w:pPr>
            <w:r>
              <w:t xml:space="preserve">0.387</w:t>
            </w:r>
          </w:p>
        </w:tc>
        <w:tc>
          <w:tcPr/>
          <w:p>
            <w:pPr>
              <w:pStyle w:val="Compact"/>
              <w:jc w:val="left"/>
            </w:pPr>
            <w:r>
              <w:t xml:space="preserve">No Target</w:t>
            </w:r>
          </w:p>
        </w:tc>
        <w:tc>
          <w:tcPr/>
          <w:p>
            <w:pPr>
              <w:pStyle w:val="Compact"/>
              <w:jc w:val="right"/>
            </w:pPr>
            <w:r>
              <w:t xml:space="preserve">0.423</w:t>
            </w:r>
          </w:p>
        </w:tc>
      </w:tr>
      <w:tr>
        <w:tc>
          <w:tcPr/>
          <w:p>
            <w:pPr>
              <w:pStyle w:val="Compact"/>
              <w:jc w:val="left"/>
            </w:pPr>
            <w:r>
              <w:t xml:space="preserve">Spotted seatrout</w:t>
            </w:r>
          </w:p>
        </w:tc>
        <w:tc>
          <w:tcPr/>
          <w:p>
            <w:pPr>
              <w:pStyle w:val="Compact"/>
              <w:jc w:val="right"/>
            </w:pPr>
            <w:r>
              <w:t xml:space="preserve">0.165</w:t>
            </w:r>
          </w:p>
        </w:tc>
        <w:tc>
          <w:tcPr/>
          <w:p>
            <w:pPr>
              <w:pStyle w:val="Compact"/>
              <w:jc w:val="left"/>
            </w:pPr>
            <w:r>
              <w:t xml:space="preserve">Spotted seatrout</w:t>
            </w:r>
          </w:p>
        </w:tc>
        <w:tc>
          <w:tcPr/>
          <w:p>
            <w:pPr>
              <w:pStyle w:val="Compact"/>
              <w:jc w:val="right"/>
            </w:pPr>
            <w:r>
              <w:t xml:space="preserve">0.185</w:t>
            </w:r>
          </w:p>
        </w:tc>
        <w:tc>
          <w:tcPr/>
          <w:p>
            <w:pPr>
              <w:pStyle w:val="Compact"/>
              <w:jc w:val="left"/>
            </w:pPr>
            <w:r>
              <w:t xml:space="preserve">Spotted seatrout</w:t>
            </w:r>
          </w:p>
        </w:tc>
        <w:tc>
          <w:tcPr/>
          <w:p>
            <w:pPr>
              <w:pStyle w:val="Compact"/>
              <w:jc w:val="right"/>
            </w:pPr>
            <w:r>
              <w:t xml:space="preserve">0.127</w:t>
            </w:r>
          </w:p>
        </w:tc>
        <w:tc>
          <w:tcPr/>
          <w:p>
            <w:pPr>
              <w:pStyle w:val="Compact"/>
              <w:jc w:val="left"/>
            </w:pPr>
            <w:r>
              <w:t xml:space="preserve">Spotted seatrout</w:t>
            </w:r>
          </w:p>
        </w:tc>
        <w:tc>
          <w:tcPr/>
          <w:p>
            <w:pPr>
              <w:pStyle w:val="Compact"/>
              <w:jc w:val="right"/>
            </w:pPr>
            <w:r>
              <w:t xml:space="preserve">0.153</w:t>
            </w:r>
          </w:p>
        </w:tc>
      </w:tr>
      <w:tr>
        <w:tc>
          <w:tcPr/>
          <w:p>
            <w:pPr>
              <w:pStyle w:val="Compact"/>
              <w:jc w:val="left"/>
            </w:pPr>
            <w:r>
              <w:t xml:space="preserve">Red drum</w:t>
            </w:r>
          </w:p>
        </w:tc>
        <w:tc>
          <w:tcPr/>
          <w:p>
            <w:pPr>
              <w:pStyle w:val="Compact"/>
              <w:jc w:val="right"/>
            </w:pPr>
            <w:r>
              <w:t xml:space="preserve">0.123</w:t>
            </w:r>
          </w:p>
        </w:tc>
        <w:tc>
          <w:tcPr/>
          <w:p>
            <w:pPr>
              <w:pStyle w:val="Compact"/>
              <w:jc w:val="left"/>
            </w:pPr>
            <w:r>
              <w:t xml:space="preserve">Red drum</w:t>
            </w:r>
          </w:p>
        </w:tc>
        <w:tc>
          <w:tcPr/>
          <w:p>
            <w:pPr>
              <w:pStyle w:val="Compact"/>
              <w:jc w:val="right"/>
            </w:pPr>
            <w:r>
              <w:t xml:space="preserve">0.129</w:t>
            </w:r>
          </w:p>
        </w:tc>
        <w:tc>
          <w:tcPr/>
          <w:p>
            <w:pPr>
              <w:pStyle w:val="Compact"/>
              <w:jc w:val="left"/>
            </w:pPr>
            <w:r>
              <w:t xml:space="preserve">Gag</w:t>
            </w:r>
          </w:p>
        </w:tc>
        <w:tc>
          <w:tcPr/>
          <w:p>
            <w:pPr>
              <w:pStyle w:val="Compact"/>
              <w:jc w:val="right"/>
            </w:pPr>
            <w:r>
              <w:t xml:space="preserve">0.125</w:t>
            </w:r>
          </w:p>
        </w:tc>
        <w:tc>
          <w:tcPr/>
          <w:p>
            <w:pPr>
              <w:pStyle w:val="Compact"/>
              <w:jc w:val="left"/>
            </w:pPr>
            <w:r>
              <w:t xml:space="preserve">Red drum</w:t>
            </w:r>
          </w:p>
        </w:tc>
        <w:tc>
          <w:tcPr/>
          <w:p>
            <w:pPr>
              <w:pStyle w:val="Compact"/>
              <w:jc w:val="right"/>
            </w:pPr>
            <w:r>
              <w:t xml:space="preserve">0.099</w:t>
            </w:r>
          </w:p>
        </w:tc>
      </w:tr>
      <w:tr>
        <w:tc>
          <w:tcPr/>
          <w:p>
            <w:pPr>
              <w:pStyle w:val="Compact"/>
              <w:jc w:val="left"/>
            </w:pPr>
            <w:r>
              <w:t xml:space="preserve">Gag</w:t>
            </w:r>
          </w:p>
        </w:tc>
        <w:tc>
          <w:tcPr/>
          <w:p>
            <w:pPr>
              <w:pStyle w:val="Compact"/>
              <w:jc w:val="right"/>
            </w:pPr>
            <w:r>
              <w:t xml:space="preserve">0.097</w:t>
            </w:r>
          </w:p>
        </w:tc>
        <w:tc>
          <w:tcPr/>
          <w:p>
            <w:pPr>
              <w:pStyle w:val="Compact"/>
              <w:jc w:val="left"/>
            </w:pPr>
            <w:r>
              <w:t xml:space="preserve">Gag</w:t>
            </w:r>
          </w:p>
        </w:tc>
        <w:tc>
          <w:tcPr/>
          <w:p>
            <w:pPr>
              <w:pStyle w:val="Compact"/>
              <w:jc w:val="right"/>
            </w:pPr>
            <w:r>
              <w:t xml:space="preserve">0.082</w:t>
            </w:r>
          </w:p>
        </w:tc>
        <w:tc>
          <w:tcPr/>
          <w:p>
            <w:pPr>
              <w:pStyle w:val="Compact"/>
              <w:jc w:val="left"/>
            </w:pPr>
            <w:r>
              <w:t xml:space="preserve">Red drum</w:t>
            </w:r>
          </w:p>
        </w:tc>
        <w:tc>
          <w:tcPr/>
          <w:p>
            <w:pPr>
              <w:pStyle w:val="Compact"/>
              <w:jc w:val="right"/>
            </w:pPr>
            <w:r>
              <w:t xml:space="preserve">0.112</w:t>
            </w:r>
          </w:p>
        </w:tc>
        <w:tc>
          <w:tcPr/>
          <w:p>
            <w:pPr>
              <w:pStyle w:val="Compact"/>
              <w:jc w:val="left"/>
            </w:pPr>
            <w:r>
              <w:t xml:space="preserve">Gag</w:t>
            </w:r>
          </w:p>
        </w:tc>
        <w:tc>
          <w:tcPr/>
          <w:p>
            <w:pPr>
              <w:pStyle w:val="Compact"/>
              <w:jc w:val="right"/>
            </w:pPr>
            <w:r>
              <w:t xml:space="preserve">0.068</w:t>
            </w:r>
          </w:p>
        </w:tc>
      </w:tr>
      <w:tr>
        <w:tc>
          <w:tcPr/>
          <w:p>
            <w:pPr>
              <w:pStyle w:val="Compact"/>
              <w:jc w:val="left"/>
            </w:pPr>
            <w:r>
              <w:t xml:space="preserve">Mullet genus</w:t>
            </w:r>
          </w:p>
        </w:tc>
        <w:tc>
          <w:tcPr/>
          <w:p>
            <w:pPr>
              <w:pStyle w:val="Compact"/>
              <w:jc w:val="right"/>
            </w:pPr>
            <w:r>
              <w:t xml:space="preserve">0.028</w:t>
            </w:r>
          </w:p>
        </w:tc>
        <w:tc>
          <w:tcPr/>
          <w:p>
            <w:pPr>
              <w:pStyle w:val="Compact"/>
              <w:jc w:val="left"/>
            </w:pPr>
            <w:r>
              <w:t xml:space="preserve">Gray snapper</w:t>
            </w:r>
          </w:p>
        </w:tc>
        <w:tc>
          <w:tcPr/>
          <w:p>
            <w:pPr>
              <w:pStyle w:val="Compact"/>
              <w:jc w:val="right"/>
            </w:pPr>
            <w:r>
              <w:t xml:space="preserve">0.024</w:t>
            </w:r>
          </w:p>
        </w:tc>
        <w:tc>
          <w:tcPr/>
          <w:p>
            <w:pPr>
              <w:pStyle w:val="Compact"/>
              <w:jc w:val="left"/>
            </w:pPr>
            <w:r>
              <w:t xml:space="preserve">Mullet genus</w:t>
            </w:r>
          </w:p>
        </w:tc>
        <w:tc>
          <w:tcPr/>
          <w:p>
            <w:pPr>
              <w:pStyle w:val="Compact"/>
              <w:jc w:val="right"/>
            </w:pPr>
            <w:r>
              <w:t xml:space="preserve">0.047</w:t>
            </w:r>
          </w:p>
        </w:tc>
        <w:tc>
          <w:tcPr/>
          <w:p>
            <w:pPr>
              <w:pStyle w:val="Compact"/>
              <w:jc w:val="left"/>
            </w:pPr>
            <w:r>
              <w:t xml:space="preserve">Mullet genus</w:t>
            </w:r>
          </w:p>
        </w:tc>
        <w:tc>
          <w:tcPr/>
          <w:p>
            <w:pPr>
              <w:pStyle w:val="Compact"/>
              <w:jc w:val="right"/>
            </w:pPr>
            <w:r>
              <w:t xml:space="preserve">0.050</w:t>
            </w:r>
          </w:p>
        </w:tc>
      </w:tr>
    </w:tbl>
    <w:p>
      <w:pPr>
        <w:pStyle w:val="BodyText"/>
      </w:pPr>
      <w:r>
        <w:rPr>
          <w:bCs/>
          <w:b/>
        </w:rPr>
        <w:t xml:space="preserve">Table 3. Proportions of species targeted by fishing trips made in Hernando County by anglers from various origins, for 2011-2021.</w:t>
      </w:r>
      <w:r>
        <w:br/>
      </w:r>
      <w:r>
        <w:t xml:space="preserve">This table shows the top 5 species anglers fish in Hernando County, depending on where they live.</w:t>
      </w:r>
      <w:r>
        <w:t xml:space="preserve"> </w:t>
      </w:r>
      <w:r>
        <w:rPr>
          <w:bCs/>
          <w:b/>
        </w:rPr>
        <w:t xml:space="preserve">Columns 1-2</w:t>
      </w:r>
      <w:r>
        <w:t xml:space="preserve"> </w:t>
      </w:r>
      <w:r>
        <w:t xml:space="preserve">shows what anglers fish for in Hernando County regardless of where they come from.</w:t>
      </w:r>
      <w:r>
        <w:t xml:space="preserve"> </w:t>
      </w:r>
      <w:r>
        <w:rPr>
          <w:bCs/>
          <w:b/>
        </w:rPr>
        <w:t xml:space="preserve">Columns 3-4</w:t>
      </w:r>
      <w:r>
        <w:t xml:space="preserve"> </w:t>
      </w:r>
      <w:r>
        <w:t xml:space="preserve">shows what Hernando County resident anglers fish for,</w:t>
      </w:r>
      <w:r>
        <w:t xml:space="preserve"> </w:t>
      </w:r>
      <w:r>
        <w:rPr>
          <w:bCs/>
          <w:b/>
        </w:rPr>
        <w:t xml:space="preserve">Columns 5-6</w:t>
      </w:r>
      <w:r>
        <w:t xml:space="preserve"> </w:t>
      </w:r>
      <w:r>
        <w:t xml:space="preserve">shows what anglers who live in Florida but not Hernando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bhallscharf@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bhallscharf@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6CD9BD-EA5F-415A-9BA0-304DBD2E6D23}"/>
</file>

<file path=customXml/itemProps2.xml><?xml version="1.0" encoding="utf-8"?>
<ds:datastoreItem xmlns:ds="http://schemas.openxmlformats.org/officeDocument/2006/customXml" ds:itemID="{4B2B0768-8824-4FAB-A698-E6FA7F66E5D6}"/>
</file>

<file path=customXml/itemProps3.xml><?xml version="1.0" encoding="utf-8"?>
<ds:datastoreItem xmlns:ds="http://schemas.openxmlformats.org/officeDocument/2006/customXml" ds:itemID="{BFA877B5-890E-4026-818D-8FDA374069A0}"/>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Hernando County</dc:title>
  <dc:creator>Prepared for Hernando County by Ed Camp (edvcamp@ufl.edu) Assistant Professor University of Florida, and Brittany Hall-Scharf, Florida Sea Grant Extension Agent Hernando County, bhallscharf@ufl.edu</dc:creator>
  <cp:keywords/>
  <dcterms:created xsi:type="dcterms:W3CDTF">2023-01-24T15:03:21Z</dcterms:created>
  <dcterms:modified xsi:type="dcterms:W3CDTF">2023-01-24T15:03:21Z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