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Lee</w:t>
      </w:r>
      <w:r>
        <w:t xml:space="preserve"> </w:t>
      </w:r>
      <w:r>
        <w:t xml:space="preserve">County</w:t>
      </w:r>
    </w:p>
    <w:p>
      <w:pPr>
        <w:pStyle w:val="Author"/>
      </w:pPr>
      <w:r>
        <w:t xml:space="preserve">Prepared</w:t>
      </w:r>
      <w:r>
        <w:t xml:space="preserve"> </w:t>
      </w:r>
      <w:r>
        <w:t xml:space="preserve">for</w:t>
      </w:r>
      <w:r>
        <w:t xml:space="preserve"> </w:t>
      </w:r>
      <w:r>
        <w:t xml:space="preserve">Lee</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Michael</w:t>
      </w:r>
      <w:r>
        <w:t xml:space="preserve"> </w:t>
      </w:r>
      <w:r>
        <w:t xml:space="preserve">Sipos,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Collier</w:t>
      </w:r>
      <w:r>
        <w:t xml:space="preserve"> </w:t>
      </w:r>
      <w:r>
        <w:t xml:space="preserve">County,</w:t>
      </w:r>
      <w:r>
        <w:t xml:space="preserve"> </w:t>
      </w:r>
      <w:hyperlink r:id="rId21">
        <w:r>
          <w:rPr>
            <w:rStyle w:val="Hyperlink"/>
          </w:rPr>
          <w:t xml:space="preserve">sipos624@ufl.edu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Lee County</w:t>
      </w:r>
      <w:r>
        <w:t xml:space="preserve">. The report describes information about where people come from when they fish Lee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Lee County</w:t>
      </w:r>
      <w:r>
        <w:t xml:space="preserve">, which Michael Sipos can provide you.</w:t>
      </w:r>
    </w:p>
    <w:p>
      <w:pPr>
        <w:pStyle w:val="BodyText"/>
      </w:pPr>
    </w:p>
    <w:bookmarkEnd w:id="22"/>
    <w:bookmarkStart w:id="25" w:name="Xdbd5c82c3a74f6b8212749432ce8b58a922b33a"/>
    <w:p>
      <w:pPr>
        <w:pStyle w:val="Heading3"/>
      </w:pPr>
      <w:r>
        <w:t xml:space="preserve">Where people come from to fish Lee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62"/>
        <w:gridCol w:w="586"/>
        <w:gridCol w:w="2542"/>
        <w:gridCol w:w="586"/>
        <w:gridCol w:w="1955"/>
        <w:gridCol w:w="586"/>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Charlotte Harbor</w:t>
            </w:r>
          </w:p>
        </w:tc>
        <w:tc>
          <w:tcPr/>
          <w:p>
            <w:pPr>
              <w:pStyle w:val="Compact"/>
              <w:jc w:val="right"/>
            </w:pPr>
            <w:r>
              <w:t xml:space="preserve">Prop.</w:t>
            </w:r>
          </w:p>
        </w:tc>
        <w:tc>
          <w:tcPr/>
          <w:p>
            <w:pPr>
              <w:pStyle w:val="Compact"/>
              <w:jc w:val="left"/>
            </w:pPr>
            <w:r>
              <w:t xml:space="preserve">Trips to Lee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Not Available</w:t>
            </w:r>
          </w:p>
        </w:tc>
        <w:tc>
          <w:tcPr/>
          <w:p>
            <w:pPr>
              <w:pStyle w:val="Compact"/>
              <w:jc w:val="right"/>
            </w:pPr>
            <w:r>
              <w:t xml:space="preserve">0.118</w:t>
            </w:r>
          </w:p>
        </w:tc>
        <w:tc>
          <w:tcPr/>
          <w:p>
            <w:pPr>
              <w:pStyle w:val="Compact"/>
              <w:jc w:val="left"/>
            </w:pPr>
            <w:r>
              <w:t xml:space="preserve">Not Available</w:t>
            </w:r>
          </w:p>
        </w:tc>
        <w:tc>
          <w:tcPr/>
          <w:p>
            <w:pPr>
              <w:pStyle w:val="Compact"/>
              <w:jc w:val="right"/>
            </w:pPr>
            <w:r>
              <w:t xml:space="preserve">0.119</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Ohio</w:t>
            </w:r>
          </w:p>
        </w:tc>
        <w:tc>
          <w:tcPr/>
          <w:p>
            <w:pPr>
              <w:pStyle w:val="Compact"/>
              <w:jc w:val="right"/>
            </w:pPr>
            <w:r>
              <w:t xml:space="preserve">0.093</w:t>
            </w:r>
          </w:p>
        </w:tc>
        <w:tc>
          <w:tcPr/>
          <w:p>
            <w:pPr>
              <w:pStyle w:val="Compact"/>
              <w:jc w:val="left"/>
            </w:pPr>
            <w:r>
              <w:t xml:space="preserve">Ohio</w:t>
            </w:r>
          </w:p>
        </w:tc>
        <w:tc>
          <w:tcPr/>
          <w:p>
            <w:pPr>
              <w:pStyle w:val="Compact"/>
              <w:jc w:val="right"/>
            </w:pPr>
            <w:r>
              <w:t xml:space="preserve">0.097</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Michigan</w:t>
            </w:r>
          </w:p>
        </w:tc>
        <w:tc>
          <w:tcPr/>
          <w:p>
            <w:pPr>
              <w:pStyle w:val="Compact"/>
              <w:jc w:val="right"/>
            </w:pPr>
            <w:r>
              <w:t xml:space="preserve">0.088</w:t>
            </w:r>
          </w:p>
        </w:tc>
        <w:tc>
          <w:tcPr/>
          <w:p>
            <w:pPr>
              <w:pStyle w:val="Compact"/>
              <w:jc w:val="left"/>
            </w:pPr>
            <w:r>
              <w:t xml:space="preserve">Illinois</w:t>
            </w:r>
          </w:p>
        </w:tc>
        <w:tc>
          <w:tcPr/>
          <w:p>
            <w:pPr>
              <w:pStyle w:val="Compact"/>
              <w:jc w:val="right"/>
            </w:pPr>
            <w:r>
              <w:t xml:space="preserve">0.080</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Illinois</w:t>
            </w:r>
          </w:p>
        </w:tc>
        <w:tc>
          <w:tcPr/>
          <w:p>
            <w:pPr>
              <w:pStyle w:val="Compact"/>
              <w:jc w:val="right"/>
            </w:pPr>
            <w:r>
              <w:t xml:space="preserve">0.075</w:t>
            </w:r>
          </w:p>
        </w:tc>
        <w:tc>
          <w:tcPr/>
          <w:p>
            <w:pPr>
              <w:pStyle w:val="Compact"/>
              <w:jc w:val="left"/>
            </w:pPr>
            <w:r>
              <w:t xml:space="preserve">Michigan</w:t>
            </w:r>
          </w:p>
        </w:tc>
        <w:tc>
          <w:tcPr/>
          <w:p>
            <w:pPr>
              <w:pStyle w:val="Compact"/>
              <w:jc w:val="right"/>
            </w:pPr>
            <w:r>
              <w:t xml:space="preserve">0.072</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New York</w:t>
            </w:r>
          </w:p>
        </w:tc>
        <w:tc>
          <w:tcPr/>
          <w:p>
            <w:pPr>
              <w:pStyle w:val="Compact"/>
              <w:jc w:val="right"/>
            </w:pPr>
            <w:r>
              <w:t xml:space="preserve">0.056</w:t>
            </w:r>
          </w:p>
        </w:tc>
        <w:tc>
          <w:tcPr/>
          <w:p>
            <w:pPr>
              <w:pStyle w:val="Compact"/>
              <w:jc w:val="left"/>
            </w:pPr>
            <w:r>
              <w:t xml:space="preserve">New York</w:t>
            </w:r>
          </w:p>
        </w:tc>
        <w:tc>
          <w:tcPr/>
          <w:p>
            <w:pPr>
              <w:pStyle w:val="Compact"/>
              <w:jc w:val="right"/>
            </w:pPr>
            <w:r>
              <w:t xml:space="preserve">0.058</w:t>
            </w:r>
          </w:p>
        </w:tc>
      </w:tr>
    </w:tbl>
    <w:p>
      <w:pPr>
        <w:pStyle w:val="BodyText"/>
      </w:pPr>
      <w:r>
        <w:rPr>
          <w:bCs/>
          <w:b/>
        </w:rPr>
        <w:t xml:space="preserve">Table 1. The origins of out-of-state angler trips for Florida, the region, and specifically Lee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Lee County. Comparing the columns shows how Lee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Collier</w:t>
            </w:r>
          </w:p>
        </w:tc>
        <w:tc>
          <w:tcPr/>
          <w:p>
            <w:pPr>
              <w:pStyle w:val="Compact"/>
              <w:jc w:val="right"/>
            </w:pPr>
            <w:r>
              <w:t xml:space="preserve">0.246</w:t>
            </w:r>
          </w:p>
        </w:tc>
        <w:tc>
          <w:tcPr/>
          <w:p>
            <w:pPr>
              <w:pStyle w:val="Compact"/>
              <w:jc w:val="left"/>
            </w:pPr>
            <w:r>
              <w:t xml:space="preserve">Lee</w:t>
            </w:r>
          </w:p>
        </w:tc>
        <w:tc>
          <w:tcPr/>
          <w:p>
            <w:pPr>
              <w:pStyle w:val="Compact"/>
              <w:jc w:val="right"/>
            </w:pPr>
            <w:r>
              <w:t xml:space="preserve">0.842</w:t>
            </w:r>
          </w:p>
        </w:tc>
      </w:tr>
      <w:tr>
        <w:tc>
          <w:tcPr/>
          <w:p>
            <w:pPr>
              <w:pStyle w:val="Compact"/>
              <w:jc w:val="left"/>
            </w:pPr>
            <w:r>
              <w:t xml:space="preserve">Charlotte</w:t>
            </w:r>
          </w:p>
        </w:tc>
        <w:tc>
          <w:tcPr/>
          <w:p>
            <w:pPr>
              <w:pStyle w:val="Compact"/>
              <w:jc w:val="right"/>
            </w:pPr>
            <w:r>
              <w:t xml:space="preserve">0.127</w:t>
            </w:r>
          </w:p>
        </w:tc>
        <w:tc>
          <w:tcPr/>
          <w:p>
            <w:pPr>
              <w:pStyle w:val="Compact"/>
              <w:jc w:val="left"/>
            </w:pPr>
            <w:r>
              <w:t xml:space="preserve">Collier</w:t>
            </w:r>
          </w:p>
        </w:tc>
        <w:tc>
          <w:tcPr/>
          <w:p>
            <w:pPr>
              <w:pStyle w:val="Compact"/>
              <w:jc w:val="right"/>
            </w:pPr>
            <w:r>
              <w:t xml:space="preserve">0.039</w:t>
            </w:r>
          </w:p>
        </w:tc>
      </w:tr>
      <w:tr>
        <w:tc>
          <w:tcPr/>
          <w:p>
            <w:pPr>
              <w:pStyle w:val="Compact"/>
              <w:jc w:val="left"/>
            </w:pPr>
            <w:r>
              <w:t xml:space="preserve">Polk</w:t>
            </w:r>
          </w:p>
        </w:tc>
        <w:tc>
          <w:tcPr/>
          <w:p>
            <w:pPr>
              <w:pStyle w:val="Compact"/>
              <w:jc w:val="right"/>
            </w:pPr>
            <w:r>
              <w:t xml:space="preserve">0.066</w:t>
            </w:r>
          </w:p>
        </w:tc>
        <w:tc>
          <w:tcPr/>
          <w:p>
            <w:pPr>
              <w:pStyle w:val="Compact"/>
              <w:jc w:val="left"/>
            </w:pPr>
            <w:r>
              <w:t xml:space="preserve">Charlotte</w:t>
            </w:r>
          </w:p>
        </w:tc>
        <w:tc>
          <w:tcPr/>
          <w:p>
            <w:pPr>
              <w:pStyle w:val="Compact"/>
              <w:jc w:val="right"/>
            </w:pPr>
            <w:r>
              <w:t xml:space="preserve">0.020</w:t>
            </w:r>
          </w:p>
        </w:tc>
      </w:tr>
      <w:tr>
        <w:tc>
          <w:tcPr/>
          <w:p>
            <w:pPr>
              <w:pStyle w:val="Compact"/>
              <w:jc w:val="left"/>
            </w:pPr>
            <w:r>
              <w:t xml:space="preserve">Broward</w:t>
            </w:r>
          </w:p>
        </w:tc>
        <w:tc>
          <w:tcPr/>
          <w:p>
            <w:pPr>
              <w:pStyle w:val="Compact"/>
              <w:jc w:val="right"/>
            </w:pPr>
            <w:r>
              <w:t xml:space="preserve">0.060</w:t>
            </w:r>
          </w:p>
        </w:tc>
        <w:tc>
          <w:tcPr/>
          <w:p>
            <w:pPr>
              <w:pStyle w:val="Compact"/>
              <w:jc w:val="left"/>
            </w:pPr>
            <w:r>
              <w:t xml:space="preserve">Polk</w:t>
            </w:r>
          </w:p>
        </w:tc>
        <w:tc>
          <w:tcPr/>
          <w:p>
            <w:pPr>
              <w:pStyle w:val="Compact"/>
              <w:jc w:val="right"/>
            </w:pPr>
            <w:r>
              <w:t xml:space="preserve">0.010</w:t>
            </w:r>
          </w:p>
        </w:tc>
      </w:tr>
      <w:tr>
        <w:tc>
          <w:tcPr/>
          <w:p>
            <w:pPr>
              <w:pStyle w:val="Compact"/>
              <w:jc w:val="left"/>
            </w:pPr>
            <w:r>
              <w:t xml:space="preserve">Sarasota</w:t>
            </w:r>
          </w:p>
        </w:tc>
        <w:tc>
          <w:tcPr/>
          <w:p>
            <w:pPr>
              <w:pStyle w:val="Compact"/>
              <w:jc w:val="right"/>
            </w:pPr>
            <w:r>
              <w:t xml:space="preserve">0.047</w:t>
            </w:r>
          </w:p>
        </w:tc>
        <w:tc>
          <w:tcPr/>
          <w:p>
            <w:pPr>
              <w:pStyle w:val="Compact"/>
              <w:jc w:val="left"/>
            </w:pPr>
            <w:r>
              <w:t xml:space="preserve">Broward</w:t>
            </w:r>
          </w:p>
        </w:tc>
        <w:tc>
          <w:tcPr/>
          <w:p>
            <w:pPr>
              <w:pStyle w:val="Compact"/>
              <w:jc w:val="right"/>
            </w:pPr>
            <w:r>
              <w:t xml:space="preserve">0.009</w:t>
            </w:r>
          </w:p>
        </w:tc>
      </w:tr>
    </w:tbl>
    <w:p>
      <w:pPr>
        <w:pStyle w:val="BodyText"/>
      </w:pPr>
      <w:r>
        <w:rPr>
          <w:bCs/>
          <w:b/>
        </w:rPr>
        <w:t xml:space="preserve">Table 2. The origins of Florida resident anglers fishing in Lee County, for 2011-2021.</w:t>
      </w:r>
      <w:r>
        <w:br/>
      </w:r>
      <w:r>
        <w:t xml:space="preserve">This table shows where Florida resident anglers come from when they fish Lee County.</w:t>
      </w:r>
      <w:r>
        <w:t xml:space="preserve"> </w:t>
      </w:r>
      <w:r>
        <w:rPr>
          <w:bCs/>
          <w:b/>
        </w:rPr>
        <w:t xml:space="preserve">Columns 1 &amp; 2</w:t>
      </w:r>
      <w:r>
        <w:rPr>
          <w:bCs/>
          <w:b/>
        </w:rPr>
        <w:t xml:space="preserve"> </w:t>
      </w:r>
      <w:r>
        <w:t xml:space="preserve"> </w:t>
      </w:r>
      <w:r>
        <w:t xml:space="preserve">show origins of trips in Lee County by anglers who are</w:t>
      </w:r>
      <w:r>
        <w:t xml:space="preserve"> </w:t>
      </w:r>
      <w:r>
        <w:rPr>
          <w:bCs/>
          <w:b/>
        </w:rPr>
        <w:t xml:space="preserve">not</w:t>
      </w:r>
      <w:r>
        <w:t xml:space="preserve"> </w:t>
      </w:r>
      <w:r>
        <w:t xml:space="preserve">residents of Lee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Lee County. This information can be used to identifying in-state advertising.</w:t>
      </w:r>
    </w:p>
    <w:p>
      <w:pPr>
        <w:pStyle w:val="BodyText"/>
      </w:pPr>
    </w:p>
    <w:bookmarkEnd w:id="24"/>
    <w:bookmarkEnd w:id="25"/>
    <w:bookmarkStart w:id="27" w:name="what-people-fish-for-in-lee-county"/>
    <w:p>
      <w:pPr>
        <w:pStyle w:val="Heading3"/>
      </w:pPr>
      <w:r>
        <w:t xml:space="preserve">What people fish for in Lee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646"/>
        <w:gridCol w:w="470"/>
        <w:gridCol w:w="1333"/>
        <w:gridCol w:w="470"/>
        <w:gridCol w:w="1568"/>
        <w:gridCol w:w="470"/>
        <w:gridCol w:w="1489"/>
        <w:gridCol w:w="470"/>
      </w:tblGrid>
      <w:tr>
        <w:trPr>
          <w:tblHeader w:val="true"/>
        </w:trPr>
        <w:tc>
          <w:tcPr/>
          <w:p>
            <w:pPr>
              <w:pStyle w:val="Compact"/>
              <w:jc w:val="left"/>
            </w:pPr>
            <w:r>
              <w:t xml:space="preserve">All Lee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0.523</w:t>
            </w:r>
          </w:p>
        </w:tc>
        <w:tc>
          <w:tcPr/>
          <w:p>
            <w:pPr>
              <w:pStyle w:val="Compact"/>
              <w:jc w:val="left"/>
            </w:pPr>
            <w:r>
              <w:t xml:space="preserve">No Target</w:t>
            </w:r>
          </w:p>
        </w:tc>
        <w:tc>
          <w:tcPr/>
          <w:p>
            <w:pPr>
              <w:pStyle w:val="Compact"/>
              <w:jc w:val="right"/>
            </w:pPr>
            <w:r>
              <w:t xml:space="preserve">0.538</w:t>
            </w:r>
          </w:p>
        </w:tc>
        <w:tc>
          <w:tcPr/>
          <w:p>
            <w:pPr>
              <w:pStyle w:val="Compact"/>
              <w:jc w:val="left"/>
            </w:pPr>
            <w:r>
              <w:t xml:space="preserve">No Target</w:t>
            </w:r>
          </w:p>
        </w:tc>
        <w:tc>
          <w:tcPr/>
          <w:p>
            <w:pPr>
              <w:pStyle w:val="Compact"/>
              <w:jc w:val="right"/>
            </w:pPr>
            <w:r>
              <w:t xml:space="preserve">0.497</w:t>
            </w:r>
          </w:p>
        </w:tc>
        <w:tc>
          <w:tcPr/>
          <w:p>
            <w:pPr>
              <w:pStyle w:val="Compact"/>
              <w:jc w:val="left"/>
            </w:pPr>
            <w:r>
              <w:t xml:space="preserve">No Target</w:t>
            </w:r>
          </w:p>
        </w:tc>
        <w:tc>
          <w:tcPr/>
          <w:p>
            <w:pPr>
              <w:pStyle w:val="Compact"/>
              <w:jc w:val="right"/>
            </w:pPr>
            <w:r>
              <w:t xml:space="preserve">0.510</w:t>
            </w:r>
          </w:p>
        </w:tc>
      </w:tr>
      <w:tr>
        <w:tc>
          <w:tcPr/>
          <w:p>
            <w:pPr>
              <w:pStyle w:val="Compact"/>
              <w:jc w:val="left"/>
            </w:pPr>
            <w:r>
              <w:t xml:space="preserve">Red drum</w:t>
            </w:r>
          </w:p>
        </w:tc>
        <w:tc>
          <w:tcPr/>
          <w:p>
            <w:pPr>
              <w:pStyle w:val="Compact"/>
              <w:jc w:val="right"/>
            </w:pPr>
            <w:r>
              <w:t xml:space="preserve">0.139</w:t>
            </w:r>
          </w:p>
        </w:tc>
        <w:tc>
          <w:tcPr/>
          <w:p>
            <w:pPr>
              <w:pStyle w:val="Compact"/>
              <w:jc w:val="left"/>
            </w:pPr>
            <w:r>
              <w:t xml:space="preserve">Red drum</w:t>
            </w:r>
          </w:p>
        </w:tc>
        <w:tc>
          <w:tcPr/>
          <w:p>
            <w:pPr>
              <w:pStyle w:val="Compact"/>
              <w:jc w:val="right"/>
            </w:pPr>
            <w:r>
              <w:t xml:space="preserve">0.158</w:t>
            </w:r>
          </w:p>
        </w:tc>
        <w:tc>
          <w:tcPr/>
          <w:p>
            <w:pPr>
              <w:pStyle w:val="Compact"/>
              <w:jc w:val="left"/>
            </w:pPr>
            <w:r>
              <w:t xml:space="preserve">Red drum</w:t>
            </w:r>
          </w:p>
        </w:tc>
        <w:tc>
          <w:tcPr/>
          <w:p>
            <w:pPr>
              <w:pStyle w:val="Compact"/>
              <w:jc w:val="right"/>
            </w:pPr>
            <w:r>
              <w:t xml:space="preserve">0.106</w:t>
            </w:r>
          </w:p>
        </w:tc>
        <w:tc>
          <w:tcPr/>
          <w:p>
            <w:pPr>
              <w:pStyle w:val="Compact"/>
              <w:jc w:val="left"/>
            </w:pPr>
            <w:r>
              <w:t xml:space="preserve">Spotted seatrout</w:t>
            </w:r>
          </w:p>
        </w:tc>
        <w:tc>
          <w:tcPr/>
          <w:p>
            <w:pPr>
              <w:pStyle w:val="Compact"/>
              <w:jc w:val="right"/>
            </w:pPr>
            <w:r>
              <w:t xml:space="preserve">0.103</w:t>
            </w:r>
          </w:p>
        </w:tc>
      </w:tr>
      <w:tr>
        <w:tc>
          <w:tcPr/>
          <w:p>
            <w:pPr>
              <w:pStyle w:val="Compact"/>
              <w:jc w:val="left"/>
            </w:pPr>
            <w:r>
              <w:t xml:space="preserve">Common snook</w:t>
            </w:r>
          </w:p>
        </w:tc>
        <w:tc>
          <w:tcPr/>
          <w:p>
            <w:pPr>
              <w:pStyle w:val="Compact"/>
              <w:jc w:val="right"/>
            </w:pPr>
            <w:r>
              <w:t xml:space="preserve">0.083</w:t>
            </w:r>
          </w:p>
        </w:tc>
        <w:tc>
          <w:tcPr/>
          <w:p>
            <w:pPr>
              <w:pStyle w:val="Compact"/>
              <w:jc w:val="left"/>
            </w:pPr>
            <w:r>
              <w:t xml:space="preserve">Common snook</w:t>
            </w:r>
          </w:p>
        </w:tc>
        <w:tc>
          <w:tcPr/>
          <w:p>
            <w:pPr>
              <w:pStyle w:val="Compact"/>
              <w:jc w:val="right"/>
            </w:pPr>
            <w:r>
              <w:t xml:space="preserve">0.083</w:t>
            </w:r>
          </w:p>
        </w:tc>
        <w:tc>
          <w:tcPr/>
          <w:p>
            <w:pPr>
              <w:pStyle w:val="Compact"/>
              <w:jc w:val="left"/>
            </w:pPr>
            <w:r>
              <w:t xml:space="preserve">Spotted seatrout</w:t>
            </w:r>
          </w:p>
        </w:tc>
        <w:tc>
          <w:tcPr/>
          <w:p>
            <w:pPr>
              <w:pStyle w:val="Compact"/>
              <w:jc w:val="right"/>
            </w:pPr>
            <w:r>
              <w:t xml:space="preserve">0.100</w:t>
            </w:r>
          </w:p>
        </w:tc>
        <w:tc>
          <w:tcPr/>
          <w:p>
            <w:pPr>
              <w:pStyle w:val="Compact"/>
              <w:jc w:val="left"/>
            </w:pPr>
            <w:r>
              <w:t xml:space="preserve">Red drum</w:t>
            </w:r>
          </w:p>
        </w:tc>
        <w:tc>
          <w:tcPr/>
          <w:p>
            <w:pPr>
              <w:pStyle w:val="Compact"/>
              <w:jc w:val="right"/>
            </w:pPr>
            <w:r>
              <w:t xml:space="preserve">0.071</w:t>
            </w:r>
          </w:p>
        </w:tc>
      </w:tr>
      <w:tr>
        <w:tc>
          <w:tcPr/>
          <w:p>
            <w:pPr>
              <w:pStyle w:val="Compact"/>
              <w:jc w:val="left"/>
            </w:pPr>
            <w:r>
              <w:t xml:space="preserve">Spotted seatrout</w:t>
            </w:r>
          </w:p>
        </w:tc>
        <w:tc>
          <w:tcPr/>
          <w:p>
            <w:pPr>
              <w:pStyle w:val="Compact"/>
              <w:jc w:val="right"/>
            </w:pPr>
            <w:r>
              <w:t xml:space="preserve">0.079</w:t>
            </w:r>
          </w:p>
        </w:tc>
        <w:tc>
          <w:tcPr/>
          <w:p>
            <w:pPr>
              <w:pStyle w:val="Compact"/>
              <w:jc w:val="left"/>
            </w:pPr>
            <w:r>
              <w:t xml:space="preserve">Spotted seatrout</w:t>
            </w:r>
          </w:p>
        </w:tc>
        <w:tc>
          <w:tcPr/>
          <w:p>
            <w:pPr>
              <w:pStyle w:val="Compact"/>
              <w:jc w:val="right"/>
            </w:pPr>
            <w:r>
              <w:t xml:space="preserve">0.067</w:t>
            </w:r>
          </w:p>
        </w:tc>
        <w:tc>
          <w:tcPr/>
          <w:p>
            <w:pPr>
              <w:pStyle w:val="Compact"/>
              <w:jc w:val="left"/>
            </w:pPr>
            <w:r>
              <w:t xml:space="preserve">Common snook</w:t>
            </w:r>
          </w:p>
        </w:tc>
        <w:tc>
          <w:tcPr/>
          <w:p>
            <w:pPr>
              <w:pStyle w:val="Compact"/>
              <w:jc w:val="right"/>
            </w:pPr>
            <w:r>
              <w:t xml:space="preserve">0.082</w:t>
            </w:r>
          </w:p>
        </w:tc>
        <w:tc>
          <w:tcPr/>
          <w:p>
            <w:pPr>
              <w:pStyle w:val="Compact"/>
              <w:jc w:val="left"/>
            </w:pPr>
            <w:r>
              <w:t xml:space="preserve">Common snook</w:t>
            </w:r>
          </w:p>
        </w:tc>
        <w:tc>
          <w:tcPr/>
          <w:p>
            <w:pPr>
              <w:pStyle w:val="Compact"/>
              <w:jc w:val="right"/>
            </w:pPr>
            <w:r>
              <w:t xml:space="preserve">0.064</w:t>
            </w:r>
          </w:p>
        </w:tc>
      </w:tr>
      <w:tr>
        <w:tc>
          <w:tcPr/>
          <w:p>
            <w:pPr>
              <w:pStyle w:val="Compact"/>
              <w:jc w:val="left"/>
            </w:pPr>
            <w:r>
              <w:t xml:space="preserve">Gray snapper</w:t>
            </w:r>
          </w:p>
        </w:tc>
        <w:tc>
          <w:tcPr/>
          <w:p>
            <w:pPr>
              <w:pStyle w:val="Compact"/>
              <w:jc w:val="right"/>
            </w:pPr>
            <w:r>
              <w:t xml:space="preserve">0.032</w:t>
            </w:r>
          </w:p>
        </w:tc>
        <w:tc>
          <w:tcPr/>
          <w:p>
            <w:pPr>
              <w:pStyle w:val="Compact"/>
              <w:jc w:val="left"/>
            </w:pPr>
            <w:r>
              <w:t xml:space="preserve">Gray snapper</w:t>
            </w:r>
          </w:p>
        </w:tc>
        <w:tc>
          <w:tcPr/>
          <w:p>
            <w:pPr>
              <w:pStyle w:val="Compact"/>
              <w:jc w:val="right"/>
            </w:pPr>
            <w:r>
              <w:t xml:space="preserve">0.032</w:t>
            </w:r>
          </w:p>
        </w:tc>
        <w:tc>
          <w:tcPr/>
          <w:p>
            <w:pPr>
              <w:pStyle w:val="Compact"/>
              <w:jc w:val="left"/>
            </w:pPr>
            <w:r>
              <w:t xml:space="preserve">Sheepshead</w:t>
            </w:r>
          </w:p>
        </w:tc>
        <w:tc>
          <w:tcPr/>
          <w:p>
            <w:pPr>
              <w:pStyle w:val="Compact"/>
              <w:jc w:val="right"/>
            </w:pPr>
            <w:r>
              <w:t xml:space="preserve">0.042</w:t>
            </w:r>
          </w:p>
        </w:tc>
        <w:tc>
          <w:tcPr/>
          <w:p>
            <w:pPr>
              <w:pStyle w:val="Compact"/>
              <w:jc w:val="left"/>
            </w:pPr>
            <w:r>
              <w:t xml:space="preserve">Sheepshead</w:t>
            </w:r>
          </w:p>
        </w:tc>
        <w:tc>
          <w:tcPr/>
          <w:p>
            <w:pPr>
              <w:pStyle w:val="Compact"/>
              <w:jc w:val="right"/>
            </w:pPr>
            <w:r>
              <w:t xml:space="preserve">0.057</w:t>
            </w:r>
          </w:p>
        </w:tc>
      </w:tr>
    </w:tbl>
    <w:p>
      <w:pPr>
        <w:pStyle w:val="BodyText"/>
      </w:pPr>
      <w:r>
        <w:rPr>
          <w:bCs/>
          <w:b/>
        </w:rPr>
        <w:t xml:space="preserve">Table 3. Proportions of species targeted by fishing trips made in Lee County by anglers from various origins, for 2011-2021.</w:t>
      </w:r>
      <w:r>
        <w:br/>
      </w:r>
      <w:r>
        <w:t xml:space="preserve">This table shows the top 5 species anglers fish in Lee County, depending on where they live.</w:t>
      </w:r>
      <w:r>
        <w:t xml:space="preserve"> </w:t>
      </w:r>
      <w:r>
        <w:rPr>
          <w:bCs/>
          <w:b/>
        </w:rPr>
        <w:t xml:space="preserve">Columns 1-2</w:t>
      </w:r>
      <w:r>
        <w:t xml:space="preserve"> </w:t>
      </w:r>
      <w:r>
        <w:t xml:space="preserve">shows what anglers fish for in Lee County regardless of where they come from.</w:t>
      </w:r>
      <w:r>
        <w:t xml:space="preserve"> </w:t>
      </w:r>
      <w:r>
        <w:rPr>
          <w:bCs/>
          <w:b/>
        </w:rPr>
        <w:t xml:space="preserve">Columns 3-4</w:t>
      </w:r>
      <w:r>
        <w:t xml:space="preserve"> </w:t>
      </w:r>
      <w:r>
        <w:t xml:space="preserve">shows what Lee County resident anglers fish for,</w:t>
      </w:r>
      <w:r>
        <w:t xml:space="preserve"> </w:t>
      </w:r>
      <w:r>
        <w:rPr>
          <w:bCs/>
          <w:b/>
        </w:rPr>
        <w:t xml:space="preserve">Columns 5-6</w:t>
      </w:r>
      <w:r>
        <w:t xml:space="preserve"> </w:t>
      </w:r>
      <w:r>
        <w:t xml:space="preserve">shows what anglers who live in Florida but not Lee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ipos624@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ipos624@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CFACA4-7428-401F-A1A8-616656D5EFF4}"/>
</file>

<file path=customXml/itemProps2.xml><?xml version="1.0" encoding="utf-8"?>
<ds:datastoreItem xmlns:ds="http://schemas.openxmlformats.org/officeDocument/2006/customXml" ds:itemID="{853DE0DA-0AC7-4E6F-A7AF-0ACBA8F75554}"/>
</file>

<file path=customXml/itemProps3.xml><?xml version="1.0" encoding="utf-8"?>
<ds:datastoreItem xmlns:ds="http://schemas.openxmlformats.org/officeDocument/2006/customXml" ds:itemID="{C6CEBB3C-DD5D-4404-84B3-8C6A6BB68DBB}"/>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Lee County</dc:title>
  <dc:creator>Prepared for Lee County by Ed Camp (edvcamp@ufl.edu) Assistant Professor University of Florida, and Michael Sipos, Florida Sea Grant Extension Agent Collier County, sipos624@ufl.edu</dc:creator>
  <cp:keywords/>
  <dcterms:created xsi:type="dcterms:W3CDTF">2023-01-24T15:04:08Z</dcterms:created>
  <dcterms:modified xsi:type="dcterms:W3CDTF">2023-01-24T15:04:08Z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