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Citrus</w:t>
      </w:r>
      <w:r>
        <w:t xml:space="preserve"> </w:t>
      </w:r>
      <w:r>
        <w:t xml:space="preserve">County</w:t>
      </w:r>
    </w:p>
    <w:p>
      <w:pPr>
        <w:pStyle w:val="Author"/>
      </w:pPr>
      <w:r>
        <w:t xml:space="preserve">Prepared</w:t>
      </w:r>
      <w:r>
        <w:t xml:space="preserve"> </w:t>
      </w:r>
      <w:r>
        <w:t xml:space="preserve">for</w:t>
      </w:r>
      <w:r>
        <w:t xml:space="preserve"> </w:t>
      </w:r>
      <w:r>
        <w:t xml:space="preserve">Citrus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2">
        <w:r>
          <w:rPr>
            <w:rStyle w:val="Hyperlink"/>
          </w:rPr>
          <w:t xml:space="preserve">ellism@ufl.edu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Citrus County. This information shows the importance of fishing to Citrus County economies, stakeholders, and ecosystems, and can inform advertising for fishing-based tourism and local planning in Citrus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Citrus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Citrus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Citrus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Citrus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Citrus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ellism@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C5337E-2125-46AE-A631-E6B70D99BE82}"/>
</file>

<file path=customXml/itemProps2.xml><?xml version="1.0" encoding="utf-8"?>
<ds:datastoreItem xmlns:ds="http://schemas.openxmlformats.org/officeDocument/2006/customXml" ds:itemID="{3EB59265-4797-443B-BEBC-E53DD531BB81}"/>
</file>

<file path=customXml/itemProps3.xml><?xml version="1.0" encoding="utf-8"?>
<ds:datastoreItem xmlns:ds="http://schemas.openxmlformats.org/officeDocument/2006/customXml" ds:itemID="{969A4D40-2EF2-41C5-95C3-920B86A4F8E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Citrus County</dc:title>
  <dc:creator>Prepared for Citrus County by Ed Camp (edvcamp@ufl.edu) and Anna Brasawell (a.braswell@ufl.edu), Assistant Professors at the University of Florida, and Sarah Ellis, FCS Extension Agent Citrus County ellism@ufl.edu</dc:creator>
  <cp:keywords/>
  <dcterms:created xsi:type="dcterms:W3CDTF">2023-02-03T12:22:31Z</dcterms:created>
  <dcterms:modified xsi:type="dcterms:W3CDTF">2023-02-03T12:22:31Z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