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Miami-Dade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Miami-Dade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Ana</w:t>
      </w:r>
      <w:r>
        <w:t xml:space="preserve"> </w:t>
      </w:r>
      <w:r>
        <w:t xml:space="preserve">Zangroniz,</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Miami-Dade</w:t>
      </w:r>
      <w:r>
        <w:t xml:space="preserve"> </w:t>
      </w:r>
      <w:r>
        <w:t xml:space="preserve">County,</w:t>
      </w:r>
      <w:r>
        <w:t xml:space="preserve"> </w:t>
      </w:r>
      <w:hyperlink r:id="rId22">
        <w:r>
          <w:rPr>
            <w:rStyle w:val="Hyperlink"/>
          </w:rPr>
          <w:t xml:space="preserve">azangroniz@ufl.edu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Miami-Dade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Miami-Dade County, Florida</w:t>
      </w:r>
      <w:r>
        <w:t xml:space="preserve">. We believe this information is useful to several people and entities in Miami-Dade County and the broader region, such as the the Miami-Dade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Miami-Dade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Miami-Dade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Miami-Dade County Government and Tourist Development Council, access and use data that can help them better serve their constituents and sustain or improve the economic effects of marine recreational fishing in Miami-Dade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Miami-Dade,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Miami-Dade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Miami-Dade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Miami-Dade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Miami-Dade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Miami-Dad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Miami-Dade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Miami-Dad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Miami-Dade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Miami-Dad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Miami-Dade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Miami-Dad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Miami-Dade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Miami-Dad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Miami-Dade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Miami-Dad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Miami-Dade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Miami-Dade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Miami-Dade County are:</w:t>
      </w:r>
    </w:p>
    <w:p>
      <w:pPr>
        <w:numPr>
          <w:ilvl w:val="0"/>
          <w:numId w:val="1006"/>
        </w:numPr>
        <w:pStyle w:val="Compact"/>
      </w:pPr>
      <w:r>
        <w:t xml:space="preserve">Overall effort has been mostly steady if a bit noisy for the last decade</w:t>
      </w:r>
    </w:p>
    <w:p>
      <w:pPr>
        <w:numPr>
          <w:ilvl w:val="0"/>
          <w:numId w:val="1006"/>
        </w:numPr>
        <w:pStyle w:val="Compact"/>
      </w:pPr>
      <w:r>
        <w:t xml:space="preserve">Shore-based and Private/Rental Vessel modes are nearly even in accounting for the most trips</w:t>
      </w:r>
    </w:p>
    <w:p>
      <w:pPr>
        <w:numPr>
          <w:ilvl w:val="0"/>
          <w:numId w:val="1006"/>
        </w:numPr>
        <w:pStyle w:val="Compact"/>
      </w:pPr>
      <w:r>
        <w:t xml:space="preserve">Seasonally, effort is spread fairly evently thorughout the year.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azangroniz@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azangroniz@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DF1428-6CC8-4A4C-B680-0CEBAE3CAB56}"/>
</file>

<file path=customXml/itemProps2.xml><?xml version="1.0" encoding="utf-8"?>
<ds:datastoreItem xmlns:ds="http://schemas.openxmlformats.org/officeDocument/2006/customXml" ds:itemID="{711C68FB-D5B3-4C10-A892-DA2AE0A37709}"/>
</file>

<file path=customXml/itemProps3.xml><?xml version="1.0" encoding="utf-8"?>
<ds:datastoreItem xmlns:ds="http://schemas.openxmlformats.org/officeDocument/2006/customXml" ds:itemID="{5B9A9F03-9E4B-4769-9DBB-05F0770D42D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Miami-Dade County</dc:title>
  <dc:creator>A data report for the Miami-Dade County Government and Tourist Development Council prepared by:; Ed Camp, Assistant Professor of Fisheries and Aquaculture Governance, University of Florida, edvcamp@ufl.edu; Anna Braswell, Assistant Professor of Coastal Ecosystems and Watersheds, University of Florida, a.braswell@ufl.edu; Ana Zangroniz, Florida Sea Grant Extension Agent Miami-Dade County, azangroniz@ufl.edu</dc:creator>
  <cp:keywords/>
  <dcterms:created xsi:type="dcterms:W3CDTF">2023-02-01T19:43:55Z</dcterms:created>
  <dcterms:modified xsi:type="dcterms:W3CDTF">2023-02-01T19:43:55Z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