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Nassau</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Nassau</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Nassau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Nassau County, Florida</w:t>
      </w:r>
      <w:r>
        <w:t xml:space="preserve">. We believe this information is useful to several people and entities in Nassau County and the broader region, such as the the Nassau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Nassau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Nassau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Nassau County Tourist Development Council and Board of County Commissioners, access and use data that can help them better serve their constituents and sustain or improve the economic effects of marine recreational fishing in Nassau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Nassau,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Nassau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Nassau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Nassau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Nassau County.</w:t>
      </w:r>
    </w:p>
    <w:p>
      <w:pPr>
        <w:pStyle w:val="BodyText"/>
      </w:pPr>
      <w:r>
        <w:drawing>
          <wp:inline>
            <wp:extent cx="5334000" cy="3556000"/>
            <wp:effectExtent b="0" l="0" r="0" t="0"/>
            <wp:docPr descr="" title="" id="29" name="Picture"/>
            <a:graphic>
              <a:graphicData uri="http://schemas.openxmlformats.org/drawingml/2006/picture">
                <pic:pic>
                  <pic:nvPicPr>
                    <pic:cNvPr descr="2022_Effort_Nassau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Nassau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2_Effort_Nassau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Nassau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2_Effort_Nassau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Nassau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2_Effort_Nassau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Nassau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2_Effort_Nassau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Nassau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2_Effort_Nassau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Nassau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Nassau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Nassau County are:</w:t>
      </w:r>
    </w:p>
    <w:p>
      <w:pPr>
        <w:numPr>
          <w:ilvl w:val="0"/>
          <w:numId w:val="1006"/>
        </w:numPr>
        <w:pStyle w:val="Compact"/>
      </w:pPr>
      <w:r>
        <w:t xml:space="preserve">Overall effort has been inconsistent for much of the last decade, with substantial uncertainty in estimates</w:t>
      </w:r>
    </w:p>
    <w:p>
      <w:pPr>
        <w:numPr>
          <w:ilvl w:val="0"/>
          <w:numId w:val="1006"/>
        </w:numPr>
        <w:pStyle w:val="Compact"/>
      </w:pPr>
      <w:r>
        <w:t xml:space="preserve">The majority of effort comes from the Shore-based mode</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F603E4-0D4F-4028-9D6A-10E7DA2A66A0}"/>
</file>

<file path=customXml/itemProps2.xml><?xml version="1.0" encoding="utf-8"?>
<ds:datastoreItem xmlns:ds="http://schemas.openxmlformats.org/officeDocument/2006/customXml" ds:itemID="{838801AB-65DB-4E5A-9847-5A1FC22244B1}"/>
</file>

<file path=customXml/itemProps3.xml><?xml version="1.0" encoding="utf-8"?>
<ds:datastoreItem xmlns:ds="http://schemas.openxmlformats.org/officeDocument/2006/customXml" ds:itemID="{A4AD4B0B-5F2A-4797-9E89-D7A6B5705D9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Nassau County</dc:title>
  <dc:creator>A data report for the Nassau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2023-02-01T19:37:01Z</dcterms:created>
  <dcterms:modified xsi:type="dcterms:W3CDTF">2023-02-01T19:37:01Z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