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Wakulla</w:t>
      </w:r>
      <w:r>
        <w:t xml:space="preserve"> </w:t>
      </w:r>
      <w:r>
        <w:t xml:space="preserve">County</w:t>
      </w:r>
    </w:p>
    <w:p>
      <w:pPr>
        <w:pStyle w:val="Author"/>
      </w:pPr>
      <w:r>
        <w:t xml:space="preserve">Prepared</w:t>
      </w:r>
      <w:r>
        <w:t xml:space="preserve"> </w:t>
      </w:r>
      <w:r>
        <w:t xml:space="preserve">for</w:t>
      </w:r>
      <w:r>
        <w:t xml:space="preserve"> </w:t>
      </w:r>
      <w:r>
        <w:t xml:space="preserve">Wakulla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Wakulla County. This information shows the importance of fishing to Wakulla County economies, stakeholders, and ecosystems, and can inform advertising for fishing-based tourism and local planning in Wakulla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Wakull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Wakulla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Wakull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Wakulla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Wakulla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136017-2CA7-48C0-A5A3-5DEAC3A1E27E}"/>
</file>

<file path=customXml/itemProps2.xml><?xml version="1.0" encoding="utf-8"?>
<ds:datastoreItem xmlns:ds="http://schemas.openxmlformats.org/officeDocument/2006/customXml" ds:itemID="{DF5AD7ED-B2AB-40B2-8FDA-CDB5E4D95848}"/>
</file>

<file path=customXml/itemProps3.xml><?xml version="1.0" encoding="utf-8"?>
<ds:datastoreItem xmlns:ds="http://schemas.openxmlformats.org/officeDocument/2006/customXml" ds:itemID="{14D3BAA5-C2D4-4672-8BFC-AAD49504A27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Wakulla County</dc:title>
  <dc:creator>Prepared for Wakulla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2023-02-03T12:19:46Z</dcterms:created>
  <dcterms:modified xsi:type="dcterms:W3CDTF">2023-02-03T12:19:46Z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