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Bay County</w:t>
      </w:r>
    </w:p>
    <w:p>
      <w:pPr>
        <w:pStyle w:val="Author"/>
      </w:pPr>
      <w:r>
        <w:t xml:space="preserve">Prepared for the Bay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Scott Jackson, Regional Specialized Extension Agent Bay County.</w:t>
      </w:r>
      <w:r>
        <w:t xml:space="preserve"> </w:t>
      </w:r>
      <w:hyperlink r:id="rId21">
        <w:r>
          <w:rPr>
            <w:rStyle w:val="Hyperlink"/>
          </w:rPr>
          <w:t xml:space="preserve">lsj@ufl.edu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Bay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Bay County as of 2024. It does not describe its economic value. Still, this summary may help inform discussions and decision making related to policy, management, or environmental changes in or around Bay County that might impact recreational fishing activity, or when discussing similar changes that occur at a regional or state-wide scale but might affect Bay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Bay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Bay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Bay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Bay County is given in the bottom right cell.</w:t>
      </w:r>
    </w:p>
    <w:p>
      <w:pPr>
        <w:pStyle w:val="TableCaption"/>
      </w:pPr>
      <w:r>
        <w:t xml:space="preserve">Bay Marine Rec. Fishing Contribution, Industry Output</w:t>
      </w:r>
    </w:p>
    <w:tbl>
      <w:tblPr>
        <w:tblStyle w:val="Table"/>
        <w:tblW w:type="auto" w:w="0"/>
        <w:tblLook w:firstRow="1" w:lastRow="0" w:firstColumn="0" w:lastColumn="0" w:noHBand="0" w:noVBand="0" w:val="0020"/>
        <w:tblCaption w:val="Bay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88.71</w:t>
            </w:r>
          </w:p>
        </w:tc>
        <w:tc>
          <w:tcPr/>
          <w:p>
            <w:pPr>
              <w:pStyle w:val="Compact"/>
              <w:jc w:val="left"/>
            </w:pPr>
            <w:r>
              <w:t xml:space="preserve">22.87</w:t>
            </w:r>
          </w:p>
        </w:tc>
        <w:tc>
          <w:tcPr/>
          <w:p>
            <w:pPr>
              <w:pStyle w:val="Compact"/>
              <w:jc w:val="left"/>
            </w:pPr>
            <w:r>
              <w:t xml:space="preserve">21.9</w:t>
            </w:r>
          </w:p>
        </w:tc>
        <w:tc>
          <w:tcPr/>
          <w:p>
            <w:pPr>
              <w:pStyle w:val="Compact"/>
              <w:jc w:val="left"/>
            </w:pPr>
            <w:r>
              <w:t xml:space="preserve">133.48</w:t>
            </w:r>
          </w:p>
        </w:tc>
      </w:tr>
      <w:tr>
        <w:tc>
          <w:tcPr/>
          <w:p>
            <w:pPr>
              <w:pStyle w:val="Compact"/>
              <w:jc w:val="left"/>
            </w:pPr>
            <w:r>
              <w:t xml:space="preserve">For-hire</w:t>
            </w:r>
          </w:p>
        </w:tc>
        <w:tc>
          <w:tcPr/>
          <w:p>
            <w:pPr>
              <w:pStyle w:val="Compact"/>
              <w:jc w:val="left"/>
            </w:pPr>
            <w:r>
              <w:t xml:space="preserve">21.3</w:t>
            </w:r>
          </w:p>
        </w:tc>
        <w:tc>
          <w:tcPr/>
          <w:p>
            <w:pPr>
              <w:pStyle w:val="Compact"/>
              <w:jc w:val="left"/>
            </w:pPr>
            <w:r>
              <w:t xml:space="preserve">5.54</w:t>
            </w:r>
          </w:p>
        </w:tc>
        <w:tc>
          <w:tcPr/>
          <w:p>
            <w:pPr>
              <w:pStyle w:val="Compact"/>
              <w:jc w:val="left"/>
            </w:pPr>
            <w:r>
              <w:t xml:space="preserve">9.23</w:t>
            </w:r>
          </w:p>
        </w:tc>
        <w:tc>
          <w:tcPr/>
          <w:p>
            <w:pPr>
              <w:pStyle w:val="Compact"/>
              <w:jc w:val="left"/>
            </w:pPr>
            <w:r>
              <w:t xml:space="preserve">36.06</w:t>
            </w:r>
          </w:p>
        </w:tc>
      </w:tr>
      <w:tr>
        <w:tc>
          <w:tcPr/>
          <w:p>
            <w:pPr>
              <w:pStyle w:val="Compact"/>
              <w:jc w:val="left"/>
            </w:pPr>
            <w:r>
              <w:t xml:space="preserve">Private Vessel</w:t>
            </w:r>
          </w:p>
        </w:tc>
        <w:tc>
          <w:tcPr/>
          <w:p>
            <w:pPr>
              <w:pStyle w:val="Compact"/>
              <w:jc w:val="left"/>
            </w:pPr>
            <w:r>
              <w:t xml:space="preserve">54.96</w:t>
            </w:r>
          </w:p>
        </w:tc>
        <w:tc>
          <w:tcPr/>
          <w:p>
            <w:pPr>
              <w:pStyle w:val="Compact"/>
              <w:jc w:val="left"/>
            </w:pPr>
            <w:r>
              <w:t xml:space="preserve">14.09</w:t>
            </w:r>
          </w:p>
        </w:tc>
        <w:tc>
          <w:tcPr/>
          <w:p>
            <w:pPr>
              <w:pStyle w:val="Compact"/>
              <w:jc w:val="left"/>
            </w:pPr>
            <w:r>
              <w:t xml:space="preserve">14.57</w:t>
            </w:r>
          </w:p>
        </w:tc>
        <w:tc>
          <w:tcPr/>
          <w:p>
            <w:pPr>
              <w:pStyle w:val="Compact"/>
              <w:jc w:val="left"/>
            </w:pPr>
            <w:r>
              <w:t xml:space="preserve">83.62</w:t>
            </w:r>
          </w:p>
        </w:tc>
      </w:tr>
      <w:tr>
        <w:tc>
          <w:tcPr/>
          <w:p>
            <w:pPr>
              <w:pStyle w:val="Compact"/>
              <w:jc w:val="left"/>
            </w:pPr>
            <w:r>
              <w:t xml:space="preserve">All Mar. Rec. Fishing</w:t>
            </w:r>
          </w:p>
        </w:tc>
        <w:tc>
          <w:tcPr/>
          <w:p>
            <w:pPr>
              <w:pStyle w:val="Compact"/>
              <w:jc w:val="left"/>
            </w:pPr>
            <w:r>
              <w:t xml:space="preserve">164.97</w:t>
            </w:r>
          </w:p>
        </w:tc>
        <w:tc>
          <w:tcPr/>
          <w:p>
            <w:pPr>
              <w:pStyle w:val="Compact"/>
              <w:jc w:val="left"/>
            </w:pPr>
            <w:r>
              <w:t xml:space="preserve">42.5</w:t>
            </w:r>
          </w:p>
        </w:tc>
        <w:tc>
          <w:tcPr/>
          <w:p>
            <w:pPr>
              <w:pStyle w:val="Compact"/>
              <w:jc w:val="left"/>
            </w:pPr>
            <w:r>
              <w:t xml:space="preserve">45.7</w:t>
            </w:r>
          </w:p>
        </w:tc>
        <w:tc>
          <w:tcPr/>
          <w:p>
            <w:pPr>
              <w:pStyle w:val="Compact"/>
              <w:jc w:val="left"/>
            </w:pPr>
            <w:r>
              <w:t xml:space="preserve">253.16</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Bay County is given in the bottom right cell.</w:t>
      </w:r>
    </w:p>
    <w:p>
      <w:pPr>
        <w:pStyle w:val="TableCaption"/>
      </w:pPr>
      <w:r>
        <w:t xml:space="preserve">Bay Marine Rec. Fishing Contribution, Employment</w:t>
      </w:r>
    </w:p>
    <w:tbl>
      <w:tblPr>
        <w:tblStyle w:val="Table"/>
        <w:tblW w:type="auto" w:w="0"/>
        <w:tblLook w:firstRow="1" w:lastRow="0" w:firstColumn="0" w:lastColumn="0" w:noHBand="0" w:noVBand="0" w:val="0020"/>
        <w:tblCaption w:val="Bay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896</w:t>
            </w:r>
          </w:p>
        </w:tc>
        <w:tc>
          <w:tcPr/>
          <w:p>
            <w:pPr>
              <w:pStyle w:val="Compact"/>
              <w:jc w:val="left"/>
            </w:pPr>
            <w:r>
              <w:t xml:space="preserve">145</w:t>
            </w:r>
          </w:p>
        </w:tc>
        <w:tc>
          <w:tcPr/>
          <w:p>
            <w:pPr>
              <w:pStyle w:val="Compact"/>
              <w:jc w:val="left"/>
            </w:pPr>
            <w:r>
              <w:t xml:space="preserve">133</w:t>
            </w:r>
          </w:p>
        </w:tc>
        <w:tc>
          <w:tcPr/>
          <w:p>
            <w:pPr>
              <w:pStyle w:val="Compact"/>
              <w:jc w:val="left"/>
            </w:pPr>
            <w:r>
              <w:t xml:space="preserve">1173</w:t>
            </w:r>
          </w:p>
        </w:tc>
      </w:tr>
      <w:tr>
        <w:tc>
          <w:tcPr/>
          <w:p>
            <w:pPr>
              <w:pStyle w:val="Compact"/>
              <w:jc w:val="left"/>
            </w:pPr>
            <w:r>
              <w:t xml:space="preserve">For-hire</w:t>
            </w:r>
          </w:p>
        </w:tc>
        <w:tc>
          <w:tcPr/>
          <w:p>
            <w:pPr>
              <w:pStyle w:val="Compact"/>
              <w:jc w:val="left"/>
            </w:pPr>
            <w:r>
              <w:t xml:space="preserve">258</w:t>
            </w:r>
          </w:p>
        </w:tc>
        <w:tc>
          <w:tcPr/>
          <w:p>
            <w:pPr>
              <w:pStyle w:val="Compact"/>
              <w:jc w:val="left"/>
            </w:pPr>
            <w:r>
              <w:t xml:space="preserve">41</w:t>
            </w:r>
          </w:p>
        </w:tc>
        <w:tc>
          <w:tcPr/>
          <w:p>
            <w:pPr>
              <w:pStyle w:val="Compact"/>
              <w:jc w:val="left"/>
            </w:pPr>
            <w:r>
              <w:t xml:space="preserve">56</w:t>
            </w:r>
          </w:p>
        </w:tc>
        <w:tc>
          <w:tcPr/>
          <w:p>
            <w:pPr>
              <w:pStyle w:val="Compact"/>
              <w:jc w:val="left"/>
            </w:pPr>
            <w:r>
              <w:t xml:space="preserve">355</w:t>
            </w:r>
          </w:p>
        </w:tc>
      </w:tr>
      <w:tr>
        <w:tc>
          <w:tcPr/>
          <w:p>
            <w:pPr>
              <w:pStyle w:val="Compact"/>
              <w:jc w:val="left"/>
            </w:pPr>
            <w:r>
              <w:t xml:space="preserve">Private Vessel</w:t>
            </w:r>
          </w:p>
        </w:tc>
        <w:tc>
          <w:tcPr/>
          <w:p>
            <w:pPr>
              <w:pStyle w:val="Compact"/>
              <w:jc w:val="left"/>
            </w:pPr>
            <w:r>
              <w:t xml:space="preserve">477</w:t>
            </w:r>
          </w:p>
        </w:tc>
        <w:tc>
          <w:tcPr/>
          <w:p>
            <w:pPr>
              <w:pStyle w:val="Compact"/>
              <w:jc w:val="left"/>
            </w:pPr>
            <w:r>
              <w:t xml:space="preserve">88</w:t>
            </w:r>
          </w:p>
        </w:tc>
        <w:tc>
          <w:tcPr/>
          <w:p>
            <w:pPr>
              <w:pStyle w:val="Compact"/>
              <w:jc w:val="left"/>
            </w:pPr>
            <w:r>
              <w:t xml:space="preserve">88</w:t>
            </w:r>
          </w:p>
        </w:tc>
        <w:tc>
          <w:tcPr/>
          <w:p>
            <w:pPr>
              <w:pStyle w:val="Compact"/>
              <w:jc w:val="left"/>
            </w:pPr>
            <w:r>
              <w:t xml:space="preserve">653</w:t>
            </w:r>
          </w:p>
        </w:tc>
      </w:tr>
      <w:tr>
        <w:tc>
          <w:tcPr/>
          <w:p>
            <w:pPr>
              <w:pStyle w:val="Compact"/>
              <w:jc w:val="left"/>
            </w:pPr>
            <w:r>
              <w:t xml:space="preserve">All Mar. Rec. Fishing</w:t>
            </w:r>
          </w:p>
        </w:tc>
        <w:tc>
          <w:tcPr/>
          <w:p>
            <w:pPr>
              <w:pStyle w:val="Compact"/>
              <w:jc w:val="left"/>
            </w:pPr>
            <w:r>
              <w:t xml:space="preserve">1631</w:t>
            </w:r>
          </w:p>
        </w:tc>
        <w:tc>
          <w:tcPr/>
          <w:p>
            <w:pPr>
              <w:pStyle w:val="Compact"/>
              <w:jc w:val="left"/>
            </w:pPr>
            <w:r>
              <w:t xml:space="preserve">274</w:t>
            </w:r>
          </w:p>
        </w:tc>
        <w:tc>
          <w:tcPr/>
          <w:p>
            <w:pPr>
              <w:pStyle w:val="Compact"/>
              <w:jc w:val="left"/>
            </w:pPr>
            <w:r>
              <w:t xml:space="preserve">277</w:t>
            </w:r>
          </w:p>
        </w:tc>
        <w:tc>
          <w:tcPr/>
          <w:p>
            <w:pPr>
              <w:pStyle w:val="Compact"/>
              <w:jc w:val="left"/>
            </w:pPr>
            <w:r>
              <w:t xml:space="preserve">2181</w:t>
            </w:r>
          </w:p>
        </w:tc>
      </w:tr>
    </w:tbl>
    <w:bookmarkEnd w:id="24"/>
    <w:bookmarkStart w:id="25" w:name="summary"/>
    <w:p>
      <w:pPr>
        <w:pStyle w:val="Heading3"/>
      </w:pPr>
      <w:r>
        <w:t xml:space="preserve">Summary</w:t>
      </w:r>
    </w:p>
    <w:p>
      <w:pPr>
        <w:pStyle w:val="FirstParagraph"/>
      </w:pPr>
      <w:r>
        <w:t xml:space="preserve">This summary shows that marine recreational fishing in Bay County contributed $253.16M and 2181 jobs to the Bay County economy in 2024. Again, it is critical to understand that this is not economic value, but nonetheless should be helpful for understanding the economic importance of marine recreational fishing to Bay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sj@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sj@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E7E819-A91C-4DFD-A787-1266CE85538A}"/>
</file>

<file path=customXml/itemProps2.xml><?xml version="1.0" encoding="utf-8"?>
<ds:datastoreItem xmlns:ds="http://schemas.openxmlformats.org/officeDocument/2006/customXml" ds:itemID="{A2376C0F-0D09-44A6-BA4B-4E870BE52282}"/>
</file>

<file path=customXml/itemProps3.xml><?xml version="1.0" encoding="utf-8"?>
<ds:datastoreItem xmlns:ds="http://schemas.openxmlformats.org/officeDocument/2006/customXml" ds:itemID="{0F807C1E-3CA7-4FD1-8006-D089C46E9AB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Bay County</dc:title>
  <dc:creator>Prepared for the Bay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Scott Jackson, Regional Specialized Extension Agent Bay County. lsj@ufl.edu</dc:creator>
  <cp:keywords/>
  <dcterms:created xsi:type="dcterms:W3CDTF">2025-03-19T19:28:58Z</dcterms:created>
  <dcterms:modified xsi:type="dcterms:W3CDTF">2025-03-19T19:28:58Z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