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Brevard County</w:t>
      </w:r>
    </w:p>
    <w:p>
      <w:pPr>
        <w:pStyle w:val="Author"/>
      </w:pPr>
      <w:r>
        <w:t xml:space="preserve">Prepared for the Brevard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Holly Abeels, Florida Sea Grant Extension Agent Brevard County.</w:t>
      </w:r>
      <w:r>
        <w:t xml:space="preserve"> </w:t>
      </w:r>
      <w:hyperlink r:id="rId21">
        <w:r>
          <w:rPr>
            <w:rStyle w:val="Hyperlink"/>
          </w:rPr>
          <w:t xml:space="preserve">habeels@ufl.edu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Brevard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Brevard County as of 2024. It does not describe its economic value. Still, this summary may help inform discussions and decision making related to policy, management, or environmental changes in or around Brevard County that might impact recreational fishing activity, or when discussing similar changes that occur at a regional or state-wide scale but might affect Brevard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Brevard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Brevard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Brevard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Brevard County is given in the bottom right cell.</w:t>
      </w:r>
    </w:p>
    <w:p>
      <w:pPr>
        <w:pStyle w:val="TableCaption"/>
      </w:pPr>
      <w:r>
        <w:t xml:space="preserve">Brevard Marine Rec. Fishing Contribution, Industry Output</w:t>
      </w:r>
    </w:p>
    <w:tbl>
      <w:tblPr>
        <w:tblStyle w:val="Table"/>
        <w:tblW w:type="auto" w:w="0"/>
        <w:tblLook w:firstRow="1" w:lastRow="0" w:firstColumn="0" w:lastColumn="0" w:noHBand="0" w:noVBand="0" w:val="0020"/>
        <w:tblCaption w:val="Brevard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123.39</w:t>
            </w:r>
          </w:p>
        </w:tc>
        <w:tc>
          <w:tcPr/>
          <w:p>
            <w:pPr>
              <w:pStyle w:val="Compact"/>
              <w:jc w:val="left"/>
            </w:pPr>
            <w:r>
              <w:t xml:space="preserve">30.76</w:t>
            </w:r>
          </w:p>
        </w:tc>
        <w:tc>
          <w:tcPr/>
          <w:p>
            <w:pPr>
              <w:pStyle w:val="Compact"/>
              <w:jc w:val="left"/>
            </w:pPr>
            <w:r>
              <w:t xml:space="preserve">28.65</w:t>
            </w:r>
          </w:p>
        </w:tc>
        <w:tc>
          <w:tcPr/>
          <w:p>
            <w:pPr>
              <w:pStyle w:val="Compact"/>
              <w:jc w:val="left"/>
            </w:pPr>
            <w:r>
              <w:t xml:space="preserve">182.79</w:t>
            </w:r>
          </w:p>
        </w:tc>
      </w:tr>
      <w:tr>
        <w:tc>
          <w:tcPr/>
          <w:p>
            <w:pPr>
              <w:pStyle w:val="Compact"/>
              <w:jc w:val="left"/>
            </w:pPr>
            <w:r>
              <w:t xml:space="preserve">For-hire</w:t>
            </w:r>
          </w:p>
        </w:tc>
        <w:tc>
          <w:tcPr/>
          <w:p>
            <w:pPr>
              <w:pStyle w:val="Compact"/>
              <w:jc w:val="left"/>
            </w:pPr>
            <w:r>
              <w:t xml:space="preserve">16.75</w:t>
            </w:r>
          </w:p>
        </w:tc>
        <w:tc>
          <w:tcPr/>
          <w:p>
            <w:pPr>
              <w:pStyle w:val="Compact"/>
              <w:jc w:val="left"/>
            </w:pPr>
            <w:r>
              <w:t xml:space="preserve">3.17</w:t>
            </w:r>
          </w:p>
        </w:tc>
        <w:tc>
          <w:tcPr/>
          <w:p>
            <w:pPr>
              <w:pStyle w:val="Compact"/>
              <w:jc w:val="left"/>
            </w:pPr>
            <w:r>
              <w:t xml:space="preserve">7.82</w:t>
            </w:r>
          </w:p>
        </w:tc>
        <w:tc>
          <w:tcPr/>
          <w:p>
            <w:pPr>
              <w:pStyle w:val="Compact"/>
              <w:jc w:val="left"/>
            </w:pPr>
            <w:r>
              <w:t xml:space="preserve">27.73</w:t>
            </w:r>
          </w:p>
        </w:tc>
      </w:tr>
      <w:tr>
        <w:tc>
          <w:tcPr/>
          <w:p>
            <w:pPr>
              <w:pStyle w:val="Compact"/>
              <w:jc w:val="left"/>
            </w:pPr>
            <w:r>
              <w:t xml:space="preserve">Private Vessel</w:t>
            </w:r>
          </w:p>
        </w:tc>
        <w:tc>
          <w:tcPr/>
          <w:p>
            <w:pPr>
              <w:pStyle w:val="Compact"/>
              <w:jc w:val="left"/>
            </w:pPr>
            <w:r>
              <w:t xml:space="preserve">59.15</w:t>
            </w:r>
          </w:p>
        </w:tc>
        <w:tc>
          <w:tcPr/>
          <w:p>
            <w:pPr>
              <w:pStyle w:val="Compact"/>
              <w:jc w:val="left"/>
            </w:pPr>
            <w:r>
              <w:t xml:space="preserve">15.43</w:t>
            </w:r>
          </w:p>
        </w:tc>
        <w:tc>
          <w:tcPr/>
          <w:p>
            <w:pPr>
              <w:pStyle w:val="Compact"/>
              <w:jc w:val="left"/>
            </w:pPr>
            <w:r>
              <w:t xml:space="preserve">15.57</w:t>
            </w:r>
          </w:p>
        </w:tc>
        <w:tc>
          <w:tcPr/>
          <w:p>
            <w:pPr>
              <w:pStyle w:val="Compact"/>
              <w:jc w:val="left"/>
            </w:pPr>
            <w:r>
              <w:t xml:space="preserve">90.14</w:t>
            </w:r>
          </w:p>
        </w:tc>
      </w:tr>
      <w:tr>
        <w:tc>
          <w:tcPr/>
          <w:p>
            <w:pPr>
              <w:pStyle w:val="Compact"/>
              <w:jc w:val="left"/>
            </w:pPr>
            <w:r>
              <w:t xml:space="preserve">All Mar. Rec. Fishing</w:t>
            </w:r>
          </w:p>
        </w:tc>
        <w:tc>
          <w:tcPr/>
          <w:p>
            <w:pPr>
              <w:pStyle w:val="Compact"/>
              <w:jc w:val="left"/>
            </w:pPr>
            <w:r>
              <w:t xml:space="preserve">199.29</w:t>
            </w:r>
          </w:p>
        </w:tc>
        <w:tc>
          <w:tcPr/>
          <w:p>
            <w:pPr>
              <w:pStyle w:val="Compact"/>
              <w:jc w:val="left"/>
            </w:pPr>
            <w:r>
              <w:t xml:space="preserve">49.36</w:t>
            </w:r>
          </w:p>
        </w:tc>
        <w:tc>
          <w:tcPr/>
          <w:p>
            <w:pPr>
              <w:pStyle w:val="Compact"/>
              <w:jc w:val="left"/>
            </w:pPr>
            <w:r>
              <w:t xml:space="preserve">52.04</w:t>
            </w:r>
          </w:p>
        </w:tc>
        <w:tc>
          <w:tcPr/>
          <w:p>
            <w:pPr>
              <w:pStyle w:val="Compact"/>
              <w:jc w:val="left"/>
            </w:pPr>
            <w:r>
              <w:t xml:space="preserve">300.66</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Brevard County is given in the bottom right cell.</w:t>
      </w:r>
    </w:p>
    <w:p>
      <w:pPr>
        <w:pStyle w:val="TableCaption"/>
      </w:pPr>
      <w:r>
        <w:t xml:space="preserve">Brevard Marine Rec. Fishing Contribution, Employment</w:t>
      </w:r>
    </w:p>
    <w:tbl>
      <w:tblPr>
        <w:tblStyle w:val="Table"/>
        <w:tblW w:type="auto" w:w="0"/>
        <w:tblLook w:firstRow="1" w:lastRow="0" w:firstColumn="0" w:lastColumn="0" w:noHBand="0" w:noVBand="0" w:val="0020"/>
        <w:tblCaption w:val="Brevard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1337</w:t>
            </w:r>
          </w:p>
        </w:tc>
        <w:tc>
          <w:tcPr/>
          <w:p>
            <w:pPr>
              <w:pStyle w:val="Compact"/>
              <w:jc w:val="left"/>
            </w:pPr>
            <w:r>
              <w:t xml:space="preserve">197</w:t>
            </w:r>
          </w:p>
        </w:tc>
        <w:tc>
          <w:tcPr/>
          <w:p>
            <w:pPr>
              <w:pStyle w:val="Compact"/>
              <w:jc w:val="left"/>
            </w:pPr>
            <w:r>
              <w:t xml:space="preserve">173</w:t>
            </w:r>
          </w:p>
        </w:tc>
        <w:tc>
          <w:tcPr/>
          <w:p>
            <w:pPr>
              <w:pStyle w:val="Compact"/>
              <w:jc w:val="left"/>
            </w:pPr>
            <w:r>
              <w:t xml:space="preserve">1707</w:t>
            </w:r>
          </w:p>
        </w:tc>
      </w:tr>
      <w:tr>
        <w:tc>
          <w:tcPr/>
          <w:p>
            <w:pPr>
              <w:pStyle w:val="Compact"/>
              <w:jc w:val="left"/>
            </w:pPr>
            <w:r>
              <w:t xml:space="preserve">For-hire</w:t>
            </w:r>
          </w:p>
        </w:tc>
        <w:tc>
          <w:tcPr/>
          <w:p>
            <w:pPr>
              <w:pStyle w:val="Compact"/>
              <w:jc w:val="left"/>
            </w:pPr>
            <w:r>
              <w:t xml:space="preserve">176</w:t>
            </w:r>
          </w:p>
        </w:tc>
        <w:tc>
          <w:tcPr/>
          <w:p>
            <w:pPr>
              <w:pStyle w:val="Compact"/>
              <w:jc w:val="left"/>
            </w:pPr>
            <w:r>
              <w:t xml:space="preserve">22</w:t>
            </w:r>
          </w:p>
        </w:tc>
        <w:tc>
          <w:tcPr/>
          <w:p>
            <w:pPr>
              <w:pStyle w:val="Compact"/>
              <w:jc w:val="left"/>
            </w:pPr>
            <w:r>
              <w:t xml:space="preserve">47</w:t>
            </w:r>
          </w:p>
        </w:tc>
        <w:tc>
          <w:tcPr/>
          <w:p>
            <w:pPr>
              <w:pStyle w:val="Compact"/>
              <w:jc w:val="left"/>
            </w:pPr>
            <w:r>
              <w:t xml:space="preserve">245</w:t>
            </w:r>
          </w:p>
        </w:tc>
      </w:tr>
      <w:tr>
        <w:tc>
          <w:tcPr/>
          <w:p>
            <w:pPr>
              <w:pStyle w:val="Compact"/>
              <w:jc w:val="left"/>
            </w:pPr>
            <w:r>
              <w:t xml:space="preserve">Private Vessel</w:t>
            </w:r>
          </w:p>
        </w:tc>
        <w:tc>
          <w:tcPr/>
          <w:p>
            <w:pPr>
              <w:pStyle w:val="Compact"/>
              <w:jc w:val="left"/>
            </w:pPr>
            <w:r>
              <w:t xml:space="preserve">531</w:t>
            </w:r>
          </w:p>
        </w:tc>
        <w:tc>
          <w:tcPr/>
          <w:p>
            <w:pPr>
              <w:pStyle w:val="Compact"/>
              <w:jc w:val="left"/>
            </w:pPr>
            <w:r>
              <w:t xml:space="preserve">105</w:t>
            </w:r>
          </w:p>
        </w:tc>
        <w:tc>
          <w:tcPr/>
          <w:p>
            <w:pPr>
              <w:pStyle w:val="Compact"/>
              <w:jc w:val="left"/>
            </w:pPr>
            <w:r>
              <w:t xml:space="preserve">94</w:t>
            </w:r>
          </w:p>
        </w:tc>
        <w:tc>
          <w:tcPr/>
          <w:p>
            <w:pPr>
              <w:pStyle w:val="Compact"/>
              <w:jc w:val="left"/>
            </w:pPr>
            <w:r>
              <w:t xml:space="preserve">730</w:t>
            </w:r>
          </w:p>
        </w:tc>
      </w:tr>
      <w:tr>
        <w:tc>
          <w:tcPr/>
          <w:p>
            <w:pPr>
              <w:pStyle w:val="Compact"/>
              <w:jc w:val="left"/>
            </w:pPr>
            <w:r>
              <w:t xml:space="preserve">All Mar. Rec. Fishing</w:t>
            </w:r>
          </w:p>
        </w:tc>
        <w:tc>
          <w:tcPr/>
          <w:p>
            <w:pPr>
              <w:pStyle w:val="Compact"/>
              <w:jc w:val="left"/>
            </w:pPr>
            <w:r>
              <w:t xml:space="preserve">2044</w:t>
            </w:r>
          </w:p>
        </w:tc>
        <w:tc>
          <w:tcPr/>
          <w:p>
            <w:pPr>
              <w:pStyle w:val="Compact"/>
              <w:jc w:val="left"/>
            </w:pPr>
            <w:r>
              <w:t xml:space="preserve">324</w:t>
            </w:r>
          </w:p>
        </w:tc>
        <w:tc>
          <w:tcPr/>
          <w:p>
            <w:pPr>
              <w:pStyle w:val="Compact"/>
              <w:jc w:val="left"/>
            </w:pPr>
            <w:r>
              <w:t xml:space="preserve">314</w:t>
            </w:r>
          </w:p>
        </w:tc>
        <w:tc>
          <w:tcPr/>
          <w:p>
            <w:pPr>
              <w:pStyle w:val="Compact"/>
              <w:jc w:val="left"/>
            </w:pPr>
            <w:r>
              <w:t xml:space="preserve">2682</w:t>
            </w:r>
          </w:p>
        </w:tc>
      </w:tr>
    </w:tbl>
    <w:bookmarkEnd w:id="24"/>
    <w:bookmarkStart w:id="25" w:name="summary"/>
    <w:p>
      <w:pPr>
        <w:pStyle w:val="Heading3"/>
      </w:pPr>
      <w:r>
        <w:t xml:space="preserve">Summary</w:t>
      </w:r>
    </w:p>
    <w:p>
      <w:pPr>
        <w:pStyle w:val="FirstParagraph"/>
      </w:pPr>
      <w:r>
        <w:t xml:space="preserve">This summary shows that marine recreational fishing in Brevard County contributed $300.66M and 2682 jobs to the Brevard County economy in 2024. Again, it is critical to understand that this is not economic value, but nonetheless should be helpful for understanding the economic importance of marine recreational fishing to Brevard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habeel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6DE33-3EB5-4A8A-895E-9A828CFC79E1}"/>
</file>

<file path=customXml/itemProps2.xml><?xml version="1.0" encoding="utf-8"?>
<ds:datastoreItem xmlns:ds="http://schemas.openxmlformats.org/officeDocument/2006/customXml" ds:itemID="{DFA55E19-6167-47E6-880D-E247BE155D66}"/>
</file>

<file path=customXml/itemProps3.xml><?xml version="1.0" encoding="utf-8"?>
<ds:datastoreItem xmlns:ds="http://schemas.openxmlformats.org/officeDocument/2006/customXml" ds:itemID="{6B820C96-8AE8-4700-9E34-12E15B08B7A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Brevard County</dc:title>
  <dc:creator>Prepared for the Brevard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Holly Abeels, Florida Sea Grant Extension Agent Brevard County. habeels@ufl.edu</dc:creator>
  <cp:keywords/>
  <dcterms:created xsi:type="dcterms:W3CDTF">2025-03-19T19:28:31Z</dcterms:created>
  <dcterms:modified xsi:type="dcterms:W3CDTF">2025-03-19T19:28:31Z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