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Broward County</w:t>
      </w:r>
    </w:p>
    <w:p>
      <w:pPr>
        <w:pStyle w:val="Author"/>
      </w:pPr>
      <w:r>
        <w:t xml:space="preserve">Prepared for the Broward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w:t>
      </w:r>
    </w:p>
    <w:bookmarkStart w:id="21" w:name="how-to-use-this-summary"/>
    <w:p>
      <w:pPr>
        <w:pStyle w:val="Heading3"/>
      </w:pPr>
      <w:r>
        <w:t xml:space="preserve">How to use this summary</w:t>
      </w:r>
    </w:p>
    <w:p>
      <w:pPr>
        <w:pStyle w:val="FirstParagraph"/>
      </w:pPr>
      <w:r>
        <w:t xml:space="preserve">This summary describes the 2024 economic contributions of marine recreational fishing to Broward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Broward County as of 2024. It does not describe its economic value. Still, this summary may help inform discussions and decision making related to policy, management, or environmental changes in or around Broward County that might impact recreational fishing activity, or when discussing similar changes that occur at a regional or state-wide scale but might affect Broward County.</w:t>
      </w:r>
    </w:p>
    <w:bookmarkEnd w:id="21"/>
    <w:bookmarkStart w:id="22"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Broward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Broward County and used to estimate contribution metrics via IMPLAN.</w:t>
      </w:r>
    </w:p>
    <w:bookmarkEnd w:id="22"/>
    <w:bookmarkStart w:id="23"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Broward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Broward County is given in the bottom right cell.</w:t>
      </w:r>
    </w:p>
    <w:p>
      <w:pPr>
        <w:pStyle w:val="TableCaption"/>
      </w:pPr>
      <w:r>
        <w:t xml:space="preserve">Broward Marine Rec. Fishing Contribution, Industry Output</w:t>
      </w:r>
    </w:p>
    <w:tbl>
      <w:tblPr>
        <w:tblStyle w:val="Table"/>
        <w:tblW w:type="auto" w:w="0"/>
        <w:tblLook w:firstRow="1" w:lastRow="0" w:firstColumn="0" w:lastColumn="0" w:noHBand="0" w:noVBand="0" w:val="0020"/>
        <w:tblCaption w:val="Broward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19.72</w:t>
            </w:r>
          </w:p>
        </w:tc>
        <w:tc>
          <w:tcPr/>
          <w:p>
            <w:pPr>
              <w:pStyle w:val="Compact"/>
              <w:jc w:val="left"/>
            </w:pPr>
            <w:r>
              <w:t xml:space="preserve">6.28</w:t>
            </w:r>
          </w:p>
        </w:tc>
        <w:tc>
          <w:tcPr/>
          <w:p>
            <w:pPr>
              <w:pStyle w:val="Compact"/>
              <w:jc w:val="left"/>
            </w:pPr>
            <w:r>
              <w:t xml:space="preserve">4.98</w:t>
            </w:r>
          </w:p>
        </w:tc>
        <w:tc>
          <w:tcPr/>
          <w:p>
            <w:pPr>
              <w:pStyle w:val="Compact"/>
              <w:jc w:val="left"/>
            </w:pPr>
            <w:r>
              <w:t xml:space="preserve">30.98</w:t>
            </w:r>
          </w:p>
        </w:tc>
      </w:tr>
      <w:tr>
        <w:tc>
          <w:tcPr/>
          <w:p>
            <w:pPr>
              <w:pStyle w:val="Compact"/>
              <w:jc w:val="left"/>
            </w:pPr>
            <w:r>
              <w:t xml:space="preserve">For-hire</w:t>
            </w:r>
          </w:p>
        </w:tc>
        <w:tc>
          <w:tcPr/>
          <w:p>
            <w:pPr>
              <w:pStyle w:val="Compact"/>
              <w:jc w:val="left"/>
            </w:pPr>
            <w:r>
              <w:t xml:space="preserve">10.77</w:t>
            </w:r>
          </w:p>
        </w:tc>
        <w:tc>
          <w:tcPr/>
          <w:p>
            <w:pPr>
              <w:pStyle w:val="Compact"/>
              <w:jc w:val="left"/>
            </w:pPr>
            <w:r>
              <w:t xml:space="preserve">2.28</w:t>
            </w:r>
          </w:p>
        </w:tc>
        <w:tc>
          <w:tcPr/>
          <w:p>
            <w:pPr>
              <w:pStyle w:val="Compact"/>
              <w:jc w:val="left"/>
            </w:pPr>
            <w:r>
              <w:t xml:space="preserve">4.97</w:t>
            </w:r>
          </w:p>
        </w:tc>
        <w:tc>
          <w:tcPr/>
          <w:p>
            <w:pPr>
              <w:pStyle w:val="Compact"/>
              <w:jc w:val="left"/>
            </w:pPr>
            <w:r>
              <w:t xml:space="preserve">18.02</w:t>
            </w:r>
          </w:p>
        </w:tc>
      </w:tr>
      <w:tr>
        <w:tc>
          <w:tcPr/>
          <w:p>
            <w:pPr>
              <w:pStyle w:val="Compact"/>
              <w:jc w:val="left"/>
            </w:pPr>
            <w:r>
              <w:t xml:space="preserve">Private Vessel</w:t>
            </w:r>
          </w:p>
        </w:tc>
        <w:tc>
          <w:tcPr/>
          <w:p>
            <w:pPr>
              <w:pStyle w:val="Compact"/>
              <w:jc w:val="left"/>
            </w:pPr>
            <w:r>
              <w:t xml:space="preserve">17.4</w:t>
            </w:r>
          </w:p>
        </w:tc>
        <w:tc>
          <w:tcPr/>
          <w:p>
            <w:pPr>
              <w:pStyle w:val="Compact"/>
              <w:jc w:val="left"/>
            </w:pPr>
            <w:r>
              <w:t xml:space="preserve">5.75</w:t>
            </w:r>
          </w:p>
        </w:tc>
        <w:tc>
          <w:tcPr/>
          <w:p>
            <w:pPr>
              <w:pStyle w:val="Compact"/>
              <w:jc w:val="left"/>
            </w:pPr>
            <w:r>
              <w:t xml:space="preserve">4.56</w:t>
            </w:r>
          </w:p>
        </w:tc>
        <w:tc>
          <w:tcPr/>
          <w:p>
            <w:pPr>
              <w:pStyle w:val="Compact"/>
              <w:jc w:val="left"/>
            </w:pPr>
            <w:r>
              <w:t xml:space="preserve">27.71</w:t>
            </w:r>
          </w:p>
        </w:tc>
      </w:tr>
      <w:tr>
        <w:tc>
          <w:tcPr/>
          <w:p>
            <w:pPr>
              <w:pStyle w:val="Compact"/>
              <w:jc w:val="left"/>
            </w:pPr>
            <w:r>
              <w:t xml:space="preserve">All Mar. Rec. Fishing</w:t>
            </w:r>
          </w:p>
        </w:tc>
        <w:tc>
          <w:tcPr/>
          <w:p>
            <w:pPr>
              <w:pStyle w:val="Compact"/>
              <w:jc w:val="left"/>
            </w:pPr>
            <w:r>
              <w:t xml:space="preserve">47.89</w:t>
            </w:r>
          </w:p>
        </w:tc>
        <w:tc>
          <w:tcPr/>
          <w:p>
            <w:pPr>
              <w:pStyle w:val="Compact"/>
              <w:jc w:val="left"/>
            </w:pPr>
            <w:r>
              <w:t xml:space="preserve">14.31</w:t>
            </w:r>
          </w:p>
        </w:tc>
        <w:tc>
          <w:tcPr/>
          <w:p>
            <w:pPr>
              <w:pStyle w:val="Compact"/>
              <w:jc w:val="left"/>
            </w:pPr>
            <w:r>
              <w:t xml:space="preserve">14.51</w:t>
            </w:r>
          </w:p>
        </w:tc>
        <w:tc>
          <w:tcPr/>
          <w:p>
            <w:pPr>
              <w:pStyle w:val="Compact"/>
              <w:jc w:val="left"/>
            </w:pPr>
            <w:r>
              <w:t xml:space="preserve">76.71</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Broward County is given in the bottom right cell.</w:t>
      </w:r>
    </w:p>
    <w:p>
      <w:pPr>
        <w:pStyle w:val="TableCaption"/>
      </w:pPr>
      <w:r>
        <w:t xml:space="preserve">Broward Marine Rec. Fishing Contribution, Employment</w:t>
      </w:r>
    </w:p>
    <w:tbl>
      <w:tblPr>
        <w:tblStyle w:val="Table"/>
        <w:tblW w:type="auto" w:w="0"/>
        <w:tblLook w:firstRow="1" w:lastRow="0" w:firstColumn="0" w:lastColumn="0" w:noHBand="0" w:noVBand="0" w:val="0020"/>
        <w:tblCaption w:val="Broward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200</w:t>
            </w:r>
          </w:p>
        </w:tc>
        <w:tc>
          <w:tcPr/>
          <w:p>
            <w:pPr>
              <w:pStyle w:val="Compact"/>
              <w:jc w:val="left"/>
            </w:pPr>
            <w:r>
              <w:t xml:space="preserve">36</w:t>
            </w:r>
          </w:p>
        </w:tc>
        <w:tc>
          <w:tcPr/>
          <w:p>
            <w:pPr>
              <w:pStyle w:val="Compact"/>
              <w:jc w:val="left"/>
            </w:pPr>
            <w:r>
              <w:t xml:space="preserve">28</w:t>
            </w:r>
          </w:p>
        </w:tc>
        <w:tc>
          <w:tcPr/>
          <w:p>
            <w:pPr>
              <w:pStyle w:val="Compact"/>
              <w:jc w:val="left"/>
            </w:pPr>
            <w:r>
              <w:t xml:space="preserve">265</w:t>
            </w:r>
          </w:p>
        </w:tc>
      </w:tr>
      <w:tr>
        <w:tc>
          <w:tcPr/>
          <w:p>
            <w:pPr>
              <w:pStyle w:val="Compact"/>
              <w:jc w:val="left"/>
            </w:pPr>
            <w:r>
              <w:t xml:space="preserve">For-hire</w:t>
            </w:r>
          </w:p>
        </w:tc>
        <w:tc>
          <w:tcPr/>
          <w:p>
            <w:pPr>
              <w:pStyle w:val="Compact"/>
              <w:jc w:val="left"/>
            </w:pPr>
            <w:r>
              <w:t xml:space="preserve">106</w:t>
            </w:r>
          </w:p>
        </w:tc>
        <w:tc>
          <w:tcPr/>
          <w:p>
            <w:pPr>
              <w:pStyle w:val="Compact"/>
              <w:jc w:val="left"/>
            </w:pPr>
            <w:r>
              <w:t xml:space="preserve">15</w:t>
            </w:r>
          </w:p>
        </w:tc>
        <w:tc>
          <w:tcPr/>
          <w:p>
            <w:pPr>
              <w:pStyle w:val="Compact"/>
              <w:jc w:val="left"/>
            </w:pPr>
            <w:r>
              <w:t xml:space="preserve">28</w:t>
            </w:r>
          </w:p>
        </w:tc>
        <w:tc>
          <w:tcPr/>
          <w:p>
            <w:pPr>
              <w:pStyle w:val="Compact"/>
              <w:jc w:val="left"/>
            </w:pPr>
            <w:r>
              <w:t xml:space="preserve">149</w:t>
            </w:r>
          </w:p>
        </w:tc>
      </w:tr>
      <w:tr>
        <w:tc>
          <w:tcPr/>
          <w:p>
            <w:pPr>
              <w:pStyle w:val="Compact"/>
              <w:jc w:val="left"/>
            </w:pPr>
            <w:r>
              <w:t xml:space="preserve">Private Vessel</w:t>
            </w:r>
          </w:p>
        </w:tc>
        <w:tc>
          <w:tcPr/>
          <w:p>
            <w:pPr>
              <w:pStyle w:val="Compact"/>
              <w:jc w:val="left"/>
            </w:pPr>
            <w:r>
              <w:t xml:space="preserve">148</w:t>
            </w:r>
          </w:p>
        </w:tc>
        <w:tc>
          <w:tcPr/>
          <w:p>
            <w:pPr>
              <w:pStyle w:val="Compact"/>
              <w:jc w:val="left"/>
            </w:pPr>
            <w:r>
              <w:t xml:space="preserve">35</w:t>
            </w:r>
          </w:p>
        </w:tc>
        <w:tc>
          <w:tcPr/>
          <w:p>
            <w:pPr>
              <w:pStyle w:val="Compact"/>
              <w:jc w:val="left"/>
            </w:pPr>
            <w:r>
              <w:t xml:space="preserve">26</w:t>
            </w:r>
          </w:p>
        </w:tc>
        <w:tc>
          <w:tcPr/>
          <w:p>
            <w:pPr>
              <w:pStyle w:val="Compact"/>
              <w:jc w:val="left"/>
            </w:pPr>
            <w:r>
              <w:t xml:space="preserve">209</w:t>
            </w:r>
          </w:p>
        </w:tc>
      </w:tr>
      <w:tr>
        <w:tc>
          <w:tcPr/>
          <w:p>
            <w:pPr>
              <w:pStyle w:val="Compact"/>
              <w:jc w:val="left"/>
            </w:pPr>
            <w:r>
              <w:t xml:space="preserve">All Mar. Rec. Fishing</w:t>
            </w:r>
          </w:p>
        </w:tc>
        <w:tc>
          <w:tcPr/>
          <w:p>
            <w:pPr>
              <w:pStyle w:val="Compact"/>
              <w:jc w:val="left"/>
            </w:pPr>
            <w:r>
              <w:t xml:space="preserve">454</w:t>
            </w:r>
          </w:p>
        </w:tc>
        <w:tc>
          <w:tcPr/>
          <w:p>
            <w:pPr>
              <w:pStyle w:val="Compact"/>
              <w:jc w:val="left"/>
            </w:pPr>
            <w:r>
              <w:t xml:space="preserve">86</w:t>
            </w:r>
          </w:p>
        </w:tc>
        <w:tc>
          <w:tcPr/>
          <w:p>
            <w:pPr>
              <w:pStyle w:val="Compact"/>
              <w:jc w:val="left"/>
            </w:pPr>
            <w:r>
              <w:t xml:space="preserve">82</w:t>
            </w:r>
          </w:p>
        </w:tc>
        <w:tc>
          <w:tcPr/>
          <w:p>
            <w:pPr>
              <w:pStyle w:val="Compact"/>
              <w:jc w:val="left"/>
            </w:pPr>
            <w:r>
              <w:t xml:space="preserve">623</w:t>
            </w:r>
          </w:p>
        </w:tc>
      </w:tr>
    </w:tbl>
    <w:bookmarkEnd w:id="23"/>
    <w:bookmarkStart w:id="24" w:name="summary"/>
    <w:p>
      <w:pPr>
        <w:pStyle w:val="Heading3"/>
      </w:pPr>
      <w:r>
        <w:t xml:space="preserve">Summary</w:t>
      </w:r>
    </w:p>
    <w:p>
      <w:pPr>
        <w:pStyle w:val="FirstParagraph"/>
      </w:pPr>
      <w:r>
        <w:t xml:space="preserve">This summary shows that marine recreational fishing in Broward County contributed $76.71M and 623 jobs to the Broward County economy in 2024. Again, it is critical to understand that this is not economic value, but nonetheless should be helpful for understanding the economic importance of marine recreational fishing to Broward County.</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D3F609-7A4A-477D-A962-E8D37A3E0AB4}"/>
</file>

<file path=customXml/itemProps2.xml><?xml version="1.0" encoding="utf-8"?>
<ds:datastoreItem xmlns:ds="http://schemas.openxmlformats.org/officeDocument/2006/customXml" ds:itemID="{98F03934-C6B4-44DB-9CFF-B750D0EF15A5}"/>
</file>

<file path=customXml/itemProps3.xml><?xml version="1.0" encoding="utf-8"?>
<ds:datastoreItem xmlns:ds="http://schemas.openxmlformats.org/officeDocument/2006/customXml" ds:itemID="{856C7474-F3C4-4375-8E26-6C62C8AF60A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Broward County</dc:title>
  <dc:creator>Prepared for the Broward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dc:creator>
  <cp:keywords/>
  <dcterms:created xsi:type="dcterms:W3CDTF">2025-03-19T19:28:42Z</dcterms:created>
  <dcterms:modified xsi:type="dcterms:W3CDTF">2025-03-19T19:28:42Z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