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Citrus County</w:t>
      </w:r>
    </w:p>
    <w:p>
      <w:pPr>
        <w:pStyle w:val="Author"/>
      </w:pPr>
      <w:r>
        <w:t xml:space="preserve">Prepared for the Citrus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Savanna Barry, Florida Sea Grant Regional Specialized Extension Agent Nature Coast.</w:t>
      </w:r>
      <w:r>
        <w:t xml:space="preserve"> </w:t>
      </w:r>
      <w:hyperlink r:id="rId21">
        <w:r>
          <w:rPr>
            <w:rStyle w:val="Hyperlink"/>
          </w:rPr>
          <w:t xml:space="preserve">savanna.barry@ufl.edu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Citrus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Citrus County as of 2024. It does not describe its economic value. Still, this summary may help inform discussions and decision making related to policy, management, or environmental changes in or around Citrus County that might impact recreational fishing activity, or when discussing similar changes that occur at a regional or state-wide scale but might affect Citrus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Citrus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Citrus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Citrus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Citrus County is given in the bottom right cell.</w:t>
      </w:r>
    </w:p>
    <w:p>
      <w:pPr>
        <w:pStyle w:val="TableCaption"/>
      </w:pPr>
      <w:r>
        <w:t xml:space="preserve">Citrus Marine Rec. Fishing Contribution, Industry Output</w:t>
      </w:r>
    </w:p>
    <w:tbl>
      <w:tblPr>
        <w:tblStyle w:val="Table"/>
        <w:tblW w:type="auto" w:w="0"/>
        <w:tblLook w:firstRow="1" w:lastRow="0" w:firstColumn="0" w:lastColumn="0" w:noHBand="0" w:noVBand="0" w:val="0020"/>
        <w:tblCaption w:val="Citrus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2.38</w:t>
            </w:r>
          </w:p>
        </w:tc>
        <w:tc>
          <w:tcPr/>
          <w:p>
            <w:pPr>
              <w:pStyle w:val="Compact"/>
              <w:jc w:val="left"/>
            </w:pPr>
            <w:r>
              <w:t xml:space="preserve">0.63</w:t>
            </w:r>
          </w:p>
        </w:tc>
        <w:tc>
          <w:tcPr/>
          <w:p>
            <w:pPr>
              <w:pStyle w:val="Compact"/>
              <w:jc w:val="left"/>
            </w:pPr>
            <w:r>
              <w:t xml:space="preserve">0.35</w:t>
            </w:r>
          </w:p>
        </w:tc>
        <w:tc>
          <w:tcPr/>
          <w:p>
            <w:pPr>
              <w:pStyle w:val="Compact"/>
              <w:jc w:val="left"/>
            </w:pPr>
            <w:r>
              <w:t xml:space="preserve">3.36</w:t>
            </w:r>
          </w:p>
        </w:tc>
      </w:tr>
      <w:tr>
        <w:tc>
          <w:tcPr/>
          <w:p>
            <w:pPr>
              <w:pStyle w:val="Compact"/>
              <w:jc w:val="left"/>
            </w:pPr>
            <w:r>
              <w:t xml:space="preserve">For-hire</w:t>
            </w:r>
          </w:p>
        </w:tc>
        <w:tc>
          <w:tcPr/>
          <w:p>
            <w:pPr>
              <w:pStyle w:val="Compact"/>
              <w:jc w:val="left"/>
            </w:pPr>
            <w:r>
              <w:t xml:space="preserve">22.27</w:t>
            </w:r>
          </w:p>
        </w:tc>
        <w:tc>
          <w:tcPr/>
          <w:p>
            <w:pPr>
              <w:pStyle w:val="Compact"/>
              <w:jc w:val="left"/>
            </w:pPr>
            <w:r>
              <w:t xml:space="preserve">4.61</w:t>
            </w:r>
          </w:p>
        </w:tc>
        <w:tc>
          <w:tcPr/>
          <w:p>
            <w:pPr>
              <w:pStyle w:val="Compact"/>
              <w:jc w:val="left"/>
            </w:pPr>
            <w:r>
              <w:t xml:space="preserve">6.62</w:t>
            </w:r>
          </w:p>
        </w:tc>
        <w:tc>
          <w:tcPr/>
          <w:p>
            <w:pPr>
              <w:pStyle w:val="Compact"/>
              <w:jc w:val="left"/>
            </w:pPr>
            <w:r>
              <w:t xml:space="preserve">33.49</w:t>
            </w:r>
          </w:p>
        </w:tc>
      </w:tr>
      <w:tr>
        <w:tc>
          <w:tcPr/>
          <w:p>
            <w:pPr>
              <w:pStyle w:val="Compact"/>
              <w:jc w:val="left"/>
            </w:pPr>
            <w:r>
              <w:t xml:space="preserve">Private Vessel</w:t>
            </w:r>
          </w:p>
        </w:tc>
        <w:tc>
          <w:tcPr/>
          <w:p>
            <w:pPr>
              <w:pStyle w:val="Compact"/>
              <w:jc w:val="left"/>
            </w:pPr>
            <w:r>
              <w:t xml:space="preserve">74.63</w:t>
            </w:r>
          </w:p>
        </w:tc>
        <w:tc>
          <w:tcPr/>
          <w:p>
            <w:pPr>
              <w:pStyle w:val="Compact"/>
              <w:jc w:val="left"/>
            </w:pPr>
            <w:r>
              <w:t xml:space="preserve">19.63</w:t>
            </w:r>
          </w:p>
        </w:tc>
        <w:tc>
          <w:tcPr/>
          <w:p>
            <w:pPr>
              <w:pStyle w:val="Compact"/>
              <w:jc w:val="left"/>
            </w:pPr>
            <w:r>
              <w:t xml:space="preserve">12.86</w:t>
            </w:r>
          </w:p>
        </w:tc>
        <w:tc>
          <w:tcPr/>
          <w:p>
            <w:pPr>
              <w:pStyle w:val="Compact"/>
              <w:jc w:val="left"/>
            </w:pPr>
            <w:r>
              <w:t xml:space="preserve">107.12</w:t>
            </w:r>
          </w:p>
        </w:tc>
      </w:tr>
      <w:tr>
        <w:tc>
          <w:tcPr/>
          <w:p>
            <w:pPr>
              <w:pStyle w:val="Compact"/>
              <w:jc w:val="left"/>
            </w:pPr>
            <w:r>
              <w:t xml:space="preserve">All Mar. Rec. Fishing</w:t>
            </w:r>
          </w:p>
        </w:tc>
        <w:tc>
          <w:tcPr/>
          <w:p>
            <w:pPr>
              <w:pStyle w:val="Compact"/>
              <w:jc w:val="left"/>
            </w:pPr>
            <w:r>
              <w:t xml:space="preserve">99.28</w:t>
            </w:r>
          </w:p>
        </w:tc>
        <w:tc>
          <w:tcPr/>
          <w:p>
            <w:pPr>
              <w:pStyle w:val="Compact"/>
              <w:jc w:val="left"/>
            </w:pPr>
            <w:r>
              <w:t xml:space="preserve">24.87</w:t>
            </w:r>
          </w:p>
        </w:tc>
        <w:tc>
          <w:tcPr/>
          <w:p>
            <w:pPr>
              <w:pStyle w:val="Compact"/>
              <w:jc w:val="left"/>
            </w:pPr>
            <w:r>
              <w:t xml:space="preserve">19.83</w:t>
            </w:r>
          </w:p>
        </w:tc>
        <w:tc>
          <w:tcPr/>
          <w:p>
            <w:pPr>
              <w:pStyle w:val="Compact"/>
              <w:jc w:val="left"/>
            </w:pPr>
            <w:r>
              <w:t xml:space="preserve">143.97</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Citrus County is given in the bottom right cell.</w:t>
      </w:r>
    </w:p>
    <w:p>
      <w:pPr>
        <w:pStyle w:val="TableCaption"/>
      </w:pPr>
      <w:r>
        <w:t xml:space="preserve">Citrus Marine Rec. Fishing Contribution, Employment</w:t>
      </w:r>
    </w:p>
    <w:tbl>
      <w:tblPr>
        <w:tblStyle w:val="Table"/>
        <w:tblW w:type="auto" w:w="0"/>
        <w:tblLook w:firstRow="1" w:lastRow="0" w:firstColumn="0" w:lastColumn="0" w:noHBand="0" w:noVBand="0" w:val="0020"/>
        <w:tblCaption w:val="Citrus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26</w:t>
            </w:r>
          </w:p>
        </w:tc>
        <w:tc>
          <w:tcPr/>
          <w:p>
            <w:pPr>
              <w:pStyle w:val="Compact"/>
              <w:jc w:val="left"/>
            </w:pPr>
            <w:r>
              <w:t xml:space="preserve">4</w:t>
            </w:r>
          </w:p>
        </w:tc>
        <w:tc>
          <w:tcPr/>
          <w:p>
            <w:pPr>
              <w:pStyle w:val="Compact"/>
              <w:jc w:val="left"/>
            </w:pPr>
            <w:r>
              <w:t xml:space="preserve">2</w:t>
            </w:r>
          </w:p>
        </w:tc>
        <w:tc>
          <w:tcPr/>
          <w:p>
            <w:pPr>
              <w:pStyle w:val="Compact"/>
              <w:jc w:val="left"/>
            </w:pPr>
            <w:r>
              <w:t xml:space="preserve">33</w:t>
            </w:r>
          </w:p>
        </w:tc>
      </w:tr>
      <w:tr>
        <w:tc>
          <w:tcPr/>
          <w:p>
            <w:pPr>
              <w:pStyle w:val="Compact"/>
              <w:jc w:val="left"/>
            </w:pPr>
            <w:r>
              <w:t xml:space="preserve">For-hire</w:t>
            </w:r>
          </w:p>
        </w:tc>
        <w:tc>
          <w:tcPr/>
          <w:p>
            <w:pPr>
              <w:pStyle w:val="Compact"/>
              <w:jc w:val="left"/>
            </w:pPr>
            <w:r>
              <w:t xml:space="preserve">240</w:t>
            </w:r>
          </w:p>
        </w:tc>
        <w:tc>
          <w:tcPr/>
          <w:p>
            <w:pPr>
              <w:pStyle w:val="Compact"/>
              <w:jc w:val="left"/>
            </w:pPr>
            <w:r>
              <w:t xml:space="preserve">31</w:t>
            </w:r>
          </w:p>
        </w:tc>
        <w:tc>
          <w:tcPr/>
          <w:p>
            <w:pPr>
              <w:pStyle w:val="Compact"/>
              <w:jc w:val="left"/>
            </w:pPr>
            <w:r>
              <w:t xml:space="preserve">42</w:t>
            </w:r>
          </w:p>
        </w:tc>
        <w:tc>
          <w:tcPr/>
          <w:p>
            <w:pPr>
              <w:pStyle w:val="Compact"/>
              <w:jc w:val="left"/>
            </w:pPr>
            <w:r>
              <w:t xml:space="preserve">313</w:t>
            </w:r>
          </w:p>
        </w:tc>
      </w:tr>
      <w:tr>
        <w:tc>
          <w:tcPr/>
          <w:p>
            <w:pPr>
              <w:pStyle w:val="Compact"/>
              <w:jc w:val="left"/>
            </w:pPr>
            <w:r>
              <w:t xml:space="preserve">Private Vessel</w:t>
            </w:r>
          </w:p>
        </w:tc>
        <w:tc>
          <w:tcPr/>
          <w:p>
            <w:pPr>
              <w:pStyle w:val="Compact"/>
              <w:jc w:val="left"/>
            </w:pPr>
            <w:r>
              <w:t xml:space="preserve">701</w:t>
            </w:r>
          </w:p>
        </w:tc>
        <w:tc>
          <w:tcPr/>
          <w:p>
            <w:pPr>
              <w:pStyle w:val="Compact"/>
              <w:jc w:val="left"/>
            </w:pPr>
            <w:r>
              <w:t xml:space="preserve">130</w:t>
            </w:r>
          </w:p>
        </w:tc>
        <w:tc>
          <w:tcPr/>
          <w:p>
            <w:pPr>
              <w:pStyle w:val="Compact"/>
              <w:jc w:val="left"/>
            </w:pPr>
            <w:r>
              <w:t xml:space="preserve">81</w:t>
            </w:r>
          </w:p>
        </w:tc>
        <w:tc>
          <w:tcPr/>
          <w:p>
            <w:pPr>
              <w:pStyle w:val="Compact"/>
              <w:jc w:val="left"/>
            </w:pPr>
            <w:r>
              <w:t xml:space="preserve">911</w:t>
            </w:r>
          </w:p>
        </w:tc>
      </w:tr>
      <w:tr>
        <w:tc>
          <w:tcPr/>
          <w:p>
            <w:pPr>
              <w:pStyle w:val="Compact"/>
              <w:jc w:val="left"/>
            </w:pPr>
            <w:r>
              <w:t xml:space="preserve">All Mar. Rec. Fishing</w:t>
            </w:r>
          </w:p>
        </w:tc>
        <w:tc>
          <w:tcPr/>
          <w:p>
            <w:pPr>
              <w:pStyle w:val="Compact"/>
              <w:jc w:val="left"/>
            </w:pPr>
            <w:r>
              <w:t xml:space="preserve">967</w:t>
            </w:r>
          </w:p>
        </w:tc>
        <w:tc>
          <w:tcPr/>
          <w:p>
            <w:pPr>
              <w:pStyle w:val="Compact"/>
              <w:jc w:val="left"/>
            </w:pPr>
            <w:r>
              <w:t xml:space="preserve">165</w:t>
            </w:r>
          </w:p>
        </w:tc>
        <w:tc>
          <w:tcPr/>
          <w:p>
            <w:pPr>
              <w:pStyle w:val="Compact"/>
              <w:jc w:val="left"/>
            </w:pPr>
            <w:r>
              <w:t xml:space="preserve">125</w:t>
            </w:r>
          </w:p>
        </w:tc>
        <w:tc>
          <w:tcPr/>
          <w:p>
            <w:pPr>
              <w:pStyle w:val="Compact"/>
              <w:jc w:val="left"/>
            </w:pPr>
            <w:r>
              <w:t xml:space="preserve">1257</w:t>
            </w:r>
          </w:p>
        </w:tc>
      </w:tr>
    </w:tbl>
    <w:bookmarkEnd w:id="24"/>
    <w:bookmarkStart w:id="25" w:name="summary"/>
    <w:p>
      <w:pPr>
        <w:pStyle w:val="Heading3"/>
      </w:pPr>
      <w:r>
        <w:t xml:space="preserve">Summary</w:t>
      </w:r>
    </w:p>
    <w:p>
      <w:pPr>
        <w:pStyle w:val="FirstParagraph"/>
      </w:pPr>
      <w:r>
        <w:t xml:space="preserve">This summary shows that marine recreational fishing in Citrus County contributed $143.97M and 1257 jobs to the Citrus County economy in 2024. Again, it is critical to understand that this is not economic value, but nonetheless should be helpful for understanding the economic importance of marine recreational fishing to Citrus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savanna.barry@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AEFF1F-0880-4AA2-BC92-8A340B8B20EE}"/>
</file>

<file path=customXml/itemProps2.xml><?xml version="1.0" encoding="utf-8"?>
<ds:datastoreItem xmlns:ds="http://schemas.openxmlformats.org/officeDocument/2006/customXml" ds:itemID="{BC13FE26-57E9-4CCF-A0DD-252BE26BEAA5}"/>
</file>

<file path=customXml/itemProps3.xml><?xml version="1.0" encoding="utf-8"?>
<ds:datastoreItem xmlns:ds="http://schemas.openxmlformats.org/officeDocument/2006/customXml" ds:itemID="{F5517573-DAF2-47B0-A58A-FEAB687AE57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Citrus County</dc:title>
  <dc:creator>Prepared for the Citrus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Savanna Barry, Florida Sea Grant Regional Specialized Extension Agent Nature Coast. savanna.barry@ufl.edu</dc:creator>
  <cp:keywords/>
  <dcterms:created xsi:type="dcterms:W3CDTF">2025-03-19T19:28:49Z</dcterms:created>
  <dcterms:modified xsi:type="dcterms:W3CDTF">2025-03-19T19:28:49Z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