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Collier County</w:t>
      </w:r>
    </w:p>
    <w:p>
      <w:pPr>
        <w:pStyle w:val="Author"/>
      </w:pPr>
      <w:r>
        <w:t xml:space="preserve">Prepared for the Collier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Michael Sipos, Florida Sea Grant Extension Agent Collier County.</w:t>
      </w:r>
      <w:r>
        <w:t xml:space="preserve"> </w:t>
      </w:r>
      <w:hyperlink r:id="rId21">
        <w:r>
          <w:rPr>
            <w:rStyle w:val="Hyperlink"/>
          </w:rPr>
          <w:t xml:space="preserve">sipos624@ufl.edu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Collier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Collier County as of 2024. It does not describe its economic value. Still, this summary may help inform discussions and decision making related to policy, management, or environmental changes in or around Collier County that might impact recreational fishing activity, or when discussing similar changes that occur at a regional or state-wide scale but might affect Collier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Collier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Collier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Collier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Collier County is given in the bottom right cell.</w:t>
      </w:r>
    </w:p>
    <w:p>
      <w:pPr>
        <w:pStyle w:val="TableCaption"/>
      </w:pPr>
      <w:r>
        <w:t xml:space="preserve">Collier Marine Rec. Fishing Contribution, Industry Output</w:t>
      </w:r>
    </w:p>
    <w:tbl>
      <w:tblPr>
        <w:tblStyle w:val="Table"/>
        <w:tblW w:type="auto" w:w="0"/>
        <w:tblLook w:firstRow="1" w:lastRow="0" w:firstColumn="0" w:lastColumn="0" w:noHBand="0" w:noVBand="0" w:val="0020"/>
        <w:tblCaption w:val="Collier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4.28</w:t>
            </w:r>
          </w:p>
        </w:tc>
        <w:tc>
          <w:tcPr/>
          <w:p>
            <w:pPr>
              <w:pStyle w:val="Compact"/>
              <w:jc w:val="left"/>
            </w:pPr>
            <w:r>
              <w:t xml:space="preserve">0.81</w:t>
            </w:r>
          </w:p>
        </w:tc>
        <w:tc>
          <w:tcPr/>
          <w:p>
            <w:pPr>
              <w:pStyle w:val="Compact"/>
              <w:jc w:val="left"/>
            </w:pPr>
            <w:r>
              <w:t xml:space="preserve">0.56</w:t>
            </w:r>
          </w:p>
        </w:tc>
        <w:tc>
          <w:tcPr/>
          <w:p>
            <w:pPr>
              <w:pStyle w:val="Compact"/>
              <w:jc w:val="left"/>
            </w:pPr>
            <w:r>
              <w:t xml:space="preserve">5.65</w:t>
            </w:r>
          </w:p>
        </w:tc>
      </w:tr>
      <w:tr>
        <w:tc>
          <w:tcPr/>
          <w:p>
            <w:pPr>
              <w:pStyle w:val="Compact"/>
              <w:jc w:val="left"/>
            </w:pPr>
            <w:r>
              <w:t xml:space="preserve">For-hire</w:t>
            </w:r>
          </w:p>
        </w:tc>
        <w:tc>
          <w:tcPr/>
          <w:p>
            <w:pPr>
              <w:pStyle w:val="Compact"/>
              <w:jc w:val="left"/>
            </w:pPr>
            <w:r>
              <w:t xml:space="preserve">28.6</w:t>
            </w:r>
          </w:p>
        </w:tc>
        <w:tc>
          <w:tcPr/>
          <w:p>
            <w:pPr>
              <w:pStyle w:val="Compact"/>
              <w:jc w:val="left"/>
            </w:pPr>
            <w:r>
              <w:t xml:space="preserve">5.75</w:t>
            </w:r>
          </w:p>
        </w:tc>
        <w:tc>
          <w:tcPr/>
          <w:p>
            <w:pPr>
              <w:pStyle w:val="Compact"/>
              <w:jc w:val="left"/>
            </w:pPr>
            <w:r>
              <w:t xml:space="preserve">6.18</w:t>
            </w:r>
          </w:p>
        </w:tc>
        <w:tc>
          <w:tcPr/>
          <w:p>
            <w:pPr>
              <w:pStyle w:val="Compact"/>
              <w:jc w:val="left"/>
            </w:pPr>
            <w:r>
              <w:t xml:space="preserve">40.53</w:t>
            </w:r>
          </w:p>
        </w:tc>
      </w:tr>
      <w:tr>
        <w:tc>
          <w:tcPr/>
          <w:p>
            <w:pPr>
              <w:pStyle w:val="Compact"/>
              <w:jc w:val="left"/>
            </w:pPr>
            <w:r>
              <w:t xml:space="preserve">Private Vessel</w:t>
            </w:r>
          </w:p>
        </w:tc>
        <w:tc>
          <w:tcPr/>
          <w:p>
            <w:pPr>
              <w:pStyle w:val="Compact"/>
              <w:jc w:val="left"/>
            </w:pPr>
            <w:r>
              <w:t xml:space="preserve">41.22</w:t>
            </w:r>
          </w:p>
        </w:tc>
        <w:tc>
          <w:tcPr/>
          <w:p>
            <w:pPr>
              <w:pStyle w:val="Compact"/>
              <w:jc w:val="left"/>
            </w:pPr>
            <w:r>
              <w:t xml:space="preserve">7.78</w:t>
            </w:r>
          </w:p>
        </w:tc>
        <w:tc>
          <w:tcPr/>
          <w:p>
            <w:pPr>
              <w:pStyle w:val="Compact"/>
              <w:jc w:val="left"/>
            </w:pPr>
            <w:r>
              <w:t xml:space="preserve">6.44</w:t>
            </w:r>
          </w:p>
        </w:tc>
        <w:tc>
          <w:tcPr/>
          <w:p>
            <w:pPr>
              <w:pStyle w:val="Compact"/>
              <w:jc w:val="left"/>
            </w:pPr>
            <w:r>
              <w:t xml:space="preserve">55.44</w:t>
            </w:r>
          </w:p>
        </w:tc>
      </w:tr>
      <w:tr>
        <w:tc>
          <w:tcPr/>
          <w:p>
            <w:pPr>
              <w:pStyle w:val="Compact"/>
              <w:jc w:val="left"/>
            </w:pPr>
            <w:r>
              <w:t xml:space="preserve">All Mar. Rec. Fishing</w:t>
            </w:r>
          </w:p>
        </w:tc>
        <w:tc>
          <w:tcPr/>
          <w:p>
            <w:pPr>
              <w:pStyle w:val="Compact"/>
              <w:jc w:val="left"/>
            </w:pPr>
            <w:r>
              <w:t xml:space="preserve">74.1</w:t>
            </w:r>
          </w:p>
        </w:tc>
        <w:tc>
          <w:tcPr/>
          <w:p>
            <w:pPr>
              <w:pStyle w:val="Compact"/>
              <w:jc w:val="left"/>
            </w:pPr>
            <w:r>
              <w:t xml:space="preserve">14.34</w:t>
            </w:r>
          </w:p>
        </w:tc>
        <w:tc>
          <w:tcPr/>
          <w:p>
            <w:pPr>
              <w:pStyle w:val="Compact"/>
              <w:jc w:val="left"/>
            </w:pPr>
            <w:r>
              <w:t xml:space="preserve">13.18</w:t>
            </w:r>
          </w:p>
        </w:tc>
        <w:tc>
          <w:tcPr/>
          <w:p>
            <w:pPr>
              <w:pStyle w:val="Compact"/>
              <w:jc w:val="left"/>
            </w:pPr>
            <w:r>
              <w:t xml:space="preserve">101.62</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Collier County is given in the bottom right cell.</w:t>
      </w:r>
    </w:p>
    <w:p>
      <w:pPr>
        <w:pStyle w:val="TableCaption"/>
      </w:pPr>
      <w:r>
        <w:t xml:space="preserve">Collier Marine Rec. Fishing Contribution, Employment</w:t>
      </w:r>
    </w:p>
    <w:tbl>
      <w:tblPr>
        <w:tblStyle w:val="Table"/>
        <w:tblW w:type="auto" w:w="0"/>
        <w:tblLook w:firstRow="1" w:lastRow="0" w:firstColumn="0" w:lastColumn="0" w:noHBand="0" w:noVBand="0" w:val="0020"/>
        <w:tblCaption w:val="Collier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37</w:t>
            </w:r>
          </w:p>
        </w:tc>
        <w:tc>
          <w:tcPr/>
          <w:p>
            <w:pPr>
              <w:pStyle w:val="Compact"/>
              <w:jc w:val="left"/>
            </w:pPr>
            <w:r>
              <w:t xml:space="preserve">5</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For-hire</w:t>
            </w:r>
          </w:p>
        </w:tc>
        <w:tc>
          <w:tcPr/>
          <w:p>
            <w:pPr>
              <w:pStyle w:val="Compact"/>
              <w:jc w:val="left"/>
            </w:pPr>
            <w:r>
              <w:t xml:space="preserve">360</w:t>
            </w:r>
          </w:p>
        </w:tc>
        <w:tc>
          <w:tcPr/>
          <w:p>
            <w:pPr>
              <w:pStyle w:val="Compact"/>
              <w:jc w:val="left"/>
            </w:pPr>
            <w:r>
              <w:t xml:space="preserve">37</w:t>
            </w:r>
          </w:p>
        </w:tc>
        <w:tc>
          <w:tcPr/>
          <w:p>
            <w:pPr>
              <w:pStyle w:val="Compact"/>
              <w:jc w:val="left"/>
            </w:pPr>
            <w:r>
              <w:t xml:space="preserve">34</w:t>
            </w:r>
          </w:p>
        </w:tc>
        <w:tc>
          <w:tcPr/>
          <w:p>
            <w:pPr>
              <w:pStyle w:val="Compact"/>
              <w:jc w:val="left"/>
            </w:pPr>
            <w:r>
              <w:t xml:space="preserve">431</w:t>
            </w:r>
          </w:p>
        </w:tc>
      </w:tr>
      <w:tr>
        <w:tc>
          <w:tcPr/>
          <w:p>
            <w:pPr>
              <w:pStyle w:val="Compact"/>
              <w:jc w:val="left"/>
            </w:pPr>
            <w:r>
              <w:t xml:space="preserve">Private Vessel</w:t>
            </w:r>
          </w:p>
        </w:tc>
        <w:tc>
          <w:tcPr/>
          <w:p>
            <w:pPr>
              <w:pStyle w:val="Compact"/>
              <w:jc w:val="left"/>
            </w:pPr>
            <w:r>
              <w:t xml:space="preserve">307</w:t>
            </w:r>
          </w:p>
        </w:tc>
        <w:tc>
          <w:tcPr/>
          <w:p>
            <w:pPr>
              <w:pStyle w:val="Compact"/>
              <w:jc w:val="left"/>
            </w:pPr>
            <w:r>
              <w:t xml:space="preserve">45</w:t>
            </w:r>
          </w:p>
        </w:tc>
        <w:tc>
          <w:tcPr/>
          <w:p>
            <w:pPr>
              <w:pStyle w:val="Compact"/>
              <w:jc w:val="left"/>
            </w:pPr>
            <w:r>
              <w:t xml:space="preserve">36</w:t>
            </w:r>
          </w:p>
        </w:tc>
        <w:tc>
          <w:tcPr/>
          <w:p>
            <w:pPr>
              <w:pStyle w:val="Compact"/>
              <w:jc w:val="left"/>
            </w:pPr>
            <w:r>
              <w:t xml:space="preserve">388</w:t>
            </w:r>
          </w:p>
        </w:tc>
      </w:tr>
      <w:tr>
        <w:tc>
          <w:tcPr/>
          <w:p>
            <w:pPr>
              <w:pStyle w:val="Compact"/>
              <w:jc w:val="left"/>
            </w:pPr>
            <w:r>
              <w:t xml:space="preserve">All Mar. Rec. Fishing</w:t>
            </w:r>
          </w:p>
        </w:tc>
        <w:tc>
          <w:tcPr/>
          <w:p>
            <w:pPr>
              <w:pStyle w:val="Compact"/>
              <w:jc w:val="left"/>
            </w:pPr>
            <w:r>
              <w:t xml:space="preserve">704</w:t>
            </w:r>
          </w:p>
        </w:tc>
        <w:tc>
          <w:tcPr/>
          <w:p>
            <w:pPr>
              <w:pStyle w:val="Compact"/>
              <w:jc w:val="left"/>
            </w:pPr>
            <w:r>
              <w:t xml:space="preserve">87</w:t>
            </w:r>
          </w:p>
        </w:tc>
        <w:tc>
          <w:tcPr/>
          <w:p>
            <w:pPr>
              <w:pStyle w:val="Compact"/>
              <w:jc w:val="left"/>
            </w:pPr>
            <w:r>
              <w:t xml:space="preserve">73</w:t>
            </w:r>
          </w:p>
        </w:tc>
        <w:tc>
          <w:tcPr/>
          <w:p>
            <w:pPr>
              <w:pStyle w:val="Compact"/>
              <w:jc w:val="left"/>
            </w:pPr>
            <w:r>
              <w:t xml:space="preserve">864</w:t>
            </w:r>
          </w:p>
        </w:tc>
      </w:tr>
    </w:tbl>
    <w:bookmarkEnd w:id="24"/>
    <w:bookmarkStart w:id="25" w:name="summary"/>
    <w:p>
      <w:pPr>
        <w:pStyle w:val="Heading3"/>
      </w:pPr>
      <w:r>
        <w:t xml:space="preserve">Summary</w:t>
      </w:r>
    </w:p>
    <w:p>
      <w:pPr>
        <w:pStyle w:val="FirstParagraph"/>
      </w:pPr>
      <w:r>
        <w:t xml:space="preserve">This summary shows that marine recreational fishing in Collier County contributed $101.62M and 864 jobs to the Collier County economy in 2024. Again, it is critical to understand that this is not economic value, but nonetheless should be helpful for understanding the economic importance of marine recreational fishing to Collier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ipos624@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F20EB3-F970-4BD3-A92E-2F3F6F05F4A5}"/>
</file>

<file path=customXml/itemProps2.xml><?xml version="1.0" encoding="utf-8"?>
<ds:datastoreItem xmlns:ds="http://schemas.openxmlformats.org/officeDocument/2006/customXml" ds:itemID="{5B2457EF-6F5E-4AEA-A014-1D310192224A}"/>
</file>

<file path=customXml/itemProps3.xml><?xml version="1.0" encoding="utf-8"?>
<ds:datastoreItem xmlns:ds="http://schemas.openxmlformats.org/officeDocument/2006/customXml" ds:itemID="{7821C1F1-8391-4A05-9389-04D0536343B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Collier County</dc:title>
  <dc:creator>Prepared for the Collier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Michael Sipos, Florida Sea Grant Extension Agent Collier County. sipos624@ufl.edu</dc:creator>
  <cp:keywords/>
  <dcterms:created xsi:type="dcterms:W3CDTF">2025-03-19T19:29:14Z</dcterms:created>
  <dcterms:modified xsi:type="dcterms:W3CDTF">2025-03-19T19:29:14Z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