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Collier County</w:t>
      </w:r>
    </w:p>
    <w:p>
      <w:pPr>
        <w:pStyle w:val="Author"/>
      </w:pPr>
      <w:r>
        <w:t xml:space="preserve">A data report for the Collier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Michael Sipos Florida Sea Grant Extension Agent Collier County</w:t>
      </w:r>
      <w:r>
        <w:t xml:space="preserve"> </w:t>
      </w:r>
      <w:hyperlink r:id="rId23">
        <w:r>
          <w:rPr>
            <w:rStyle w:val="Hyperlink"/>
          </w:rPr>
          <w:t xml:space="preserve">sipos624@ufl.edu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Collier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Collier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Collier County by marine recreational fishing activity. We believe this information can be useful to the Collier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Collier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Collier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Collier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Collier County that might impact recreational fishing activity, or when discussing similar changes that occur at a regional or state-wide scale but might affect Collier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Collier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Collier County estimates use the average marine recreational fisher expenditures for the Gulf coast.</w:t>
      </w:r>
    </w:p>
    <w:p>
      <w:pPr>
        <w:pStyle w:val="BodyText"/>
      </w:pPr>
      <w:r>
        <w:rPr>
          <w:i/>
          <w:iCs/>
        </w:rPr>
        <w:t xml:space="preserve">2. Estimating the number of marine recreational fishing trips in Collier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Collier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Collier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Collier economy. However, it is critical to remember that the economic contribution numbers reported for Collier County are not equivalent to economic value, and thus they do not represent economic benefit to Collier County.</w:t>
      </w:r>
      <w:r>
        <w:t xml:space="preserve"> </w:t>
      </w:r>
      <w:r>
        <w:t xml:space="preserve">A second important caveat is to understand that the data used to calculate economic contributions for Collier County are not perfectly precise. The estimates of trips (by fishing mode) can have substantial error (this is described in a separate report on recreational fishing effort in Collier County, see authors or your local Florida Sea Grant agent if you do not have this report). Also, the expenditures per trip represent the average, and were calculated at the coast-wide (Gulf, Atlantic) scale, rather than precisely in Collier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Collier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Collier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Collier County associated with all marine recreational fishing trips in 2024 was estimated to be $101.62M, and these trips supported 864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Collier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Collier County 2024 Marine Rec. Fishing Contribution, all modes</w:t>
      </w:r>
    </w:p>
    <w:tbl>
      <w:tblPr>
        <w:tblStyle w:val="Table"/>
        <w:tblW w:type="auto" w:w="0"/>
        <w:tblLook w:firstRow="1" w:lastRow="0" w:firstColumn="0" w:lastColumn="0" w:noHBand="0" w:noVBand="0" w:val="0020"/>
        <w:tblCaption w:val="Collier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74.1</w:t>
            </w:r>
          </w:p>
        </w:tc>
        <w:tc>
          <w:tcPr/>
          <w:p>
            <w:pPr>
              <w:pStyle w:val="Compact"/>
              <w:jc w:val="left"/>
            </w:pPr>
            <w:r>
              <w:t xml:space="preserve">14.34</w:t>
            </w:r>
          </w:p>
        </w:tc>
        <w:tc>
          <w:tcPr/>
          <w:p>
            <w:pPr>
              <w:pStyle w:val="Compact"/>
              <w:jc w:val="left"/>
            </w:pPr>
            <w:r>
              <w:t xml:space="preserve">13.18</w:t>
            </w:r>
          </w:p>
        </w:tc>
        <w:tc>
          <w:tcPr/>
          <w:p>
            <w:pPr>
              <w:pStyle w:val="Compact"/>
              <w:jc w:val="left"/>
            </w:pPr>
            <w:r>
              <w:t xml:space="preserve">101.62</w:t>
            </w:r>
          </w:p>
        </w:tc>
      </w:tr>
      <w:tr>
        <w:tc>
          <w:tcPr/>
          <w:p>
            <w:pPr>
              <w:pStyle w:val="Compact"/>
              <w:jc w:val="left"/>
            </w:pPr>
            <w:r>
              <w:t xml:space="preserve">Employment (Jobs)</w:t>
            </w:r>
          </w:p>
        </w:tc>
        <w:tc>
          <w:tcPr/>
          <w:p>
            <w:pPr>
              <w:pStyle w:val="Compact"/>
              <w:jc w:val="left"/>
            </w:pPr>
            <w:r>
              <w:t xml:space="preserve">704</w:t>
            </w:r>
          </w:p>
        </w:tc>
        <w:tc>
          <w:tcPr/>
          <w:p>
            <w:pPr>
              <w:pStyle w:val="Compact"/>
              <w:jc w:val="left"/>
            </w:pPr>
            <w:r>
              <w:t xml:space="preserve">87</w:t>
            </w:r>
          </w:p>
        </w:tc>
        <w:tc>
          <w:tcPr/>
          <w:p>
            <w:pPr>
              <w:pStyle w:val="Compact"/>
              <w:jc w:val="left"/>
            </w:pPr>
            <w:r>
              <w:t xml:space="preserve">73</w:t>
            </w:r>
          </w:p>
        </w:tc>
        <w:tc>
          <w:tcPr/>
          <w:p>
            <w:pPr>
              <w:pStyle w:val="Compact"/>
              <w:jc w:val="left"/>
            </w:pPr>
            <w:r>
              <w:t xml:space="preserve">864</w:t>
            </w:r>
          </w:p>
        </w:tc>
      </w:tr>
      <w:tr>
        <w:tc>
          <w:tcPr/>
          <w:p>
            <w:pPr>
              <w:pStyle w:val="Compact"/>
              <w:jc w:val="left"/>
            </w:pPr>
            <w:r>
              <w:t xml:space="preserve">Value added($M.)</w:t>
            </w:r>
          </w:p>
        </w:tc>
        <w:tc>
          <w:tcPr/>
          <w:p>
            <w:pPr>
              <w:pStyle w:val="Compact"/>
              <w:jc w:val="left"/>
            </w:pPr>
            <w:r>
              <w:t xml:space="preserve">49.5</w:t>
            </w:r>
          </w:p>
        </w:tc>
        <w:tc>
          <w:tcPr/>
          <w:p>
            <w:pPr>
              <w:pStyle w:val="Compact"/>
              <w:jc w:val="left"/>
            </w:pPr>
            <w:r>
              <w:t xml:space="preserve">7.44</w:t>
            </w:r>
          </w:p>
        </w:tc>
        <w:tc>
          <w:tcPr/>
          <w:p>
            <w:pPr>
              <w:pStyle w:val="Compact"/>
              <w:jc w:val="left"/>
            </w:pPr>
            <w:r>
              <w:t xml:space="preserve">8.78</w:t>
            </w:r>
          </w:p>
        </w:tc>
        <w:tc>
          <w:tcPr/>
          <w:p>
            <w:pPr>
              <w:pStyle w:val="Compact"/>
              <w:jc w:val="left"/>
            </w:pPr>
            <w:r>
              <w:t xml:space="preserve">65.72</w:t>
            </w:r>
          </w:p>
        </w:tc>
      </w:tr>
      <w:tr>
        <w:tc>
          <w:tcPr/>
          <w:p>
            <w:pPr>
              <w:pStyle w:val="Compact"/>
              <w:jc w:val="left"/>
            </w:pPr>
            <w:r>
              <w:t xml:space="preserve">Labor Income($M.)</w:t>
            </w:r>
          </w:p>
        </w:tc>
        <w:tc>
          <w:tcPr/>
          <w:p>
            <w:pPr>
              <w:pStyle w:val="Compact"/>
              <w:jc w:val="left"/>
            </w:pPr>
            <w:r>
              <w:t xml:space="preserve">37.05</w:t>
            </w:r>
          </w:p>
        </w:tc>
        <w:tc>
          <w:tcPr/>
          <w:p>
            <w:pPr>
              <w:pStyle w:val="Compact"/>
              <w:jc w:val="left"/>
            </w:pPr>
            <w:r>
              <w:t xml:space="preserve">4.92</w:t>
            </w:r>
          </w:p>
        </w:tc>
        <w:tc>
          <w:tcPr/>
          <w:p>
            <w:pPr>
              <w:pStyle w:val="Compact"/>
              <w:jc w:val="left"/>
            </w:pPr>
            <w:r>
              <w:t xml:space="preserve">4.25</w:t>
            </w:r>
          </w:p>
        </w:tc>
        <w:tc>
          <w:tcPr/>
          <w:p>
            <w:pPr>
              <w:pStyle w:val="Compact"/>
              <w:jc w:val="left"/>
            </w:pPr>
            <w:r>
              <w:t xml:space="preserve">46.22</w:t>
            </w:r>
          </w:p>
        </w:tc>
      </w:tr>
      <w:tr>
        <w:tc>
          <w:tcPr/>
          <w:p>
            <w:pPr>
              <w:pStyle w:val="Compact"/>
              <w:jc w:val="left"/>
            </w:pPr>
            <w:r>
              <w:t xml:space="preserve">Other Property Income($M.)</w:t>
            </w:r>
          </w:p>
        </w:tc>
        <w:tc>
          <w:tcPr/>
          <w:p>
            <w:pPr>
              <w:pStyle w:val="Compact"/>
              <w:jc w:val="left"/>
            </w:pPr>
            <w:r>
              <w:t xml:space="preserve">6.98</w:t>
            </w:r>
          </w:p>
        </w:tc>
        <w:tc>
          <w:tcPr/>
          <w:p>
            <w:pPr>
              <w:pStyle w:val="Compact"/>
              <w:jc w:val="left"/>
            </w:pPr>
            <w:r>
              <w:t xml:space="preserve">2.2</w:t>
            </w:r>
          </w:p>
        </w:tc>
        <w:tc>
          <w:tcPr/>
          <w:p>
            <w:pPr>
              <w:pStyle w:val="Compact"/>
              <w:jc w:val="left"/>
            </w:pPr>
            <w:r>
              <w:t xml:space="preserve">3.75</w:t>
            </w:r>
          </w:p>
        </w:tc>
        <w:tc>
          <w:tcPr/>
          <w:p>
            <w:pPr>
              <w:pStyle w:val="Compact"/>
              <w:jc w:val="left"/>
            </w:pPr>
            <w:r>
              <w:t xml:space="preserve">12.94</w:t>
            </w:r>
          </w:p>
        </w:tc>
      </w:tr>
      <w:tr>
        <w:tc>
          <w:tcPr/>
          <w:p>
            <w:pPr>
              <w:pStyle w:val="Compact"/>
              <w:jc w:val="left"/>
            </w:pPr>
            <w:r>
              <w:t xml:space="preserve">Indirect Business Tax($M.)</w:t>
            </w:r>
          </w:p>
        </w:tc>
        <w:tc>
          <w:tcPr/>
          <w:p>
            <w:pPr>
              <w:pStyle w:val="Compact"/>
              <w:jc w:val="left"/>
            </w:pPr>
            <w:r>
              <w:t xml:space="preserve">5.45</w:t>
            </w:r>
          </w:p>
        </w:tc>
        <w:tc>
          <w:tcPr/>
          <w:p>
            <w:pPr>
              <w:pStyle w:val="Compact"/>
              <w:jc w:val="left"/>
            </w:pPr>
            <w:r>
              <w:t xml:space="preserve">0.32</w:t>
            </w:r>
          </w:p>
        </w:tc>
        <w:tc>
          <w:tcPr/>
          <w:p>
            <w:pPr>
              <w:pStyle w:val="Compact"/>
              <w:jc w:val="left"/>
            </w:pPr>
            <w:r>
              <w:t xml:space="preserve">0.78</w:t>
            </w:r>
          </w:p>
        </w:tc>
        <w:tc>
          <w:tcPr/>
          <w:p>
            <w:pPr>
              <w:pStyle w:val="Compact"/>
              <w:jc w:val="left"/>
            </w:pPr>
            <w:r>
              <w:t xml:space="preserve">6.57</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Collier County associated with shore-based marine recreational fishing trips in 2024 was estimated to be $5.65M, and these trips supported 45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Collier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Collier County 2024 Marine Rec. Fishing Contribution, Shore-based</w:t>
      </w:r>
    </w:p>
    <w:tbl>
      <w:tblPr>
        <w:tblStyle w:val="Table"/>
        <w:tblW w:type="auto" w:w="0"/>
        <w:tblLook w:firstRow="1" w:lastRow="0" w:firstColumn="0" w:lastColumn="0" w:noHBand="0" w:noVBand="0" w:val="0020"/>
        <w:tblCaption w:val="Collier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4.28</w:t>
            </w:r>
          </w:p>
        </w:tc>
        <w:tc>
          <w:tcPr/>
          <w:p>
            <w:pPr>
              <w:pStyle w:val="Compact"/>
              <w:jc w:val="left"/>
            </w:pPr>
            <w:r>
              <w:t xml:space="preserve">0.81</w:t>
            </w:r>
          </w:p>
        </w:tc>
        <w:tc>
          <w:tcPr/>
          <w:p>
            <w:pPr>
              <w:pStyle w:val="Compact"/>
              <w:jc w:val="left"/>
            </w:pPr>
            <w:r>
              <w:t xml:space="preserve">0.56</w:t>
            </w:r>
          </w:p>
        </w:tc>
        <w:tc>
          <w:tcPr/>
          <w:p>
            <w:pPr>
              <w:pStyle w:val="Compact"/>
              <w:jc w:val="left"/>
            </w:pPr>
            <w:r>
              <w:t xml:space="preserve">5.65</w:t>
            </w:r>
          </w:p>
        </w:tc>
      </w:tr>
      <w:tr>
        <w:tc>
          <w:tcPr/>
          <w:p>
            <w:pPr>
              <w:pStyle w:val="Compact"/>
              <w:jc w:val="left"/>
            </w:pPr>
            <w:r>
              <w:t xml:space="preserve">Employment (Jobs)</w:t>
            </w:r>
          </w:p>
        </w:tc>
        <w:tc>
          <w:tcPr/>
          <w:p>
            <w:pPr>
              <w:pStyle w:val="Compact"/>
              <w:jc w:val="left"/>
            </w:pPr>
            <w:r>
              <w:t xml:space="preserve">37</w:t>
            </w:r>
          </w:p>
        </w:tc>
        <w:tc>
          <w:tcPr/>
          <w:p>
            <w:pPr>
              <w:pStyle w:val="Compact"/>
              <w:jc w:val="left"/>
            </w:pPr>
            <w:r>
              <w:t xml:space="preserve">5</w:t>
            </w:r>
          </w:p>
        </w:tc>
        <w:tc>
          <w:tcPr/>
          <w:p>
            <w:pPr>
              <w:pStyle w:val="Compact"/>
              <w:jc w:val="left"/>
            </w:pPr>
            <w:r>
              <w:t xml:space="preserve">3</w:t>
            </w:r>
          </w:p>
        </w:tc>
        <w:tc>
          <w:tcPr/>
          <w:p>
            <w:pPr>
              <w:pStyle w:val="Compact"/>
              <w:jc w:val="left"/>
            </w:pPr>
            <w:r>
              <w:t xml:space="preserve">45</w:t>
            </w:r>
          </w:p>
        </w:tc>
      </w:tr>
      <w:tr>
        <w:tc>
          <w:tcPr/>
          <w:p>
            <w:pPr>
              <w:pStyle w:val="Compact"/>
              <w:jc w:val="left"/>
            </w:pPr>
            <w:r>
              <w:t xml:space="preserve">Value added($M.)</w:t>
            </w:r>
          </w:p>
        </w:tc>
        <w:tc>
          <w:tcPr/>
          <w:p>
            <w:pPr>
              <w:pStyle w:val="Compact"/>
              <w:jc w:val="left"/>
            </w:pPr>
            <w:r>
              <w:t xml:space="preserve">2.96</w:t>
            </w:r>
          </w:p>
        </w:tc>
        <w:tc>
          <w:tcPr/>
          <w:p>
            <w:pPr>
              <w:pStyle w:val="Compact"/>
              <w:jc w:val="left"/>
            </w:pPr>
            <w:r>
              <w:t xml:space="preserve">0.43</w:t>
            </w:r>
          </w:p>
        </w:tc>
        <w:tc>
          <w:tcPr/>
          <w:p>
            <w:pPr>
              <w:pStyle w:val="Compact"/>
              <w:jc w:val="left"/>
            </w:pPr>
            <w:r>
              <w:t xml:space="preserve">0.37</w:t>
            </w:r>
          </w:p>
        </w:tc>
        <w:tc>
          <w:tcPr/>
          <w:p>
            <w:pPr>
              <w:pStyle w:val="Compact"/>
              <w:jc w:val="left"/>
            </w:pPr>
            <w:r>
              <w:t xml:space="preserve">3.76</w:t>
            </w:r>
          </w:p>
        </w:tc>
      </w:tr>
      <w:tr>
        <w:tc>
          <w:tcPr/>
          <w:p>
            <w:pPr>
              <w:pStyle w:val="Compact"/>
              <w:jc w:val="left"/>
            </w:pPr>
            <w:r>
              <w:t xml:space="preserve">Labor Income($M.)</w:t>
            </w:r>
          </w:p>
        </w:tc>
        <w:tc>
          <w:tcPr/>
          <w:p>
            <w:pPr>
              <w:pStyle w:val="Compact"/>
              <w:jc w:val="left"/>
            </w:pPr>
            <w:r>
              <w:t xml:space="preserve">1.53</w:t>
            </w:r>
          </w:p>
        </w:tc>
        <w:tc>
          <w:tcPr/>
          <w:p>
            <w:pPr>
              <w:pStyle w:val="Compact"/>
              <w:jc w:val="left"/>
            </w:pPr>
            <w:r>
              <w:t xml:space="preserve">0.26</w:t>
            </w:r>
          </w:p>
        </w:tc>
        <w:tc>
          <w:tcPr/>
          <w:p>
            <w:pPr>
              <w:pStyle w:val="Compact"/>
              <w:jc w:val="left"/>
            </w:pPr>
            <w:r>
              <w:t xml:space="preserve">0.18</w:t>
            </w:r>
          </w:p>
        </w:tc>
        <w:tc>
          <w:tcPr/>
          <w:p>
            <w:pPr>
              <w:pStyle w:val="Compact"/>
              <w:jc w:val="left"/>
            </w:pPr>
            <w:r>
              <w:t xml:space="preserve">1.97</w:t>
            </w:r>
          </w:p>
        </w:tc>
      </w:tr>
      <w:tr>
        <w:tc>
          <w:tcPr/>
          <w:p>
            <w:pPr>
              <w:pStyle w:val="Compact"/>
              <w:jc w:val="left"/>
            </w:pPr>
            <w:r>
              <w:t xml:space="preserve">Other Property Income($M.)</w:t>
            </w:r>
          </w:p>
        </w:tc>
        <w:tc>
          <w:tcPr/>
          <w:p>
            <w:pPr>
              <w:pStyle w:val="Compact"/>
              <w:jc w:val="left"/>
            </w:pPr>
            <w:r>
              <w:t xml:space="preserve">0.99</w:t>
            </w:r>
          </w:p>
        </w:tc>
        <w:tc>
          <w:tcPr/>
          <w:p>
            <w:pPr>
              <w:pStyle w:val="Compact"/>
              <w:jc w:val="left"/>
            </w:pPr>
            <w:r>
              <w:t xml:space="preserve">0.14</w:t>
            </w:r>
          </w:p>
        </w:tc>
        <w:tc>
          <w:tcPr/>
          <w:p>
            <w:pPr>
              <w:pStyle w:val="Compact"/>
              <w:jc w:val="left"/>
            </w:pPr>
            <w:r>
              <w:t xml:space="preserve">0.16</w:t>
            </w:r>
          </w:p>
        </w:tc>
        <w:tc>
          <w:tcPr/>
          <w:p>
            <w:pPr>
              <w:pStyle w:val="Compact"/>
              <w:jc w:val="left"/>
            </w:pPr>
            <w:r>
              <w:t xml:space="preserve">1.29</w:t>
            </w:r>
          </w:p>
        </w:tc>
      </w:tr>
      <w:tr>
        <w:tc>
          <w:tcPr/>
          <w:p>
            <w:pPr>
              <w:pStyle w:val="Compact"/>
              <w:jc w:val="left"/>
            </w:pPr>
            <w:r>
              <w:t xml:space="preserve">Indirect Business Tax($M.)</w:t>
            </w:r>
          </w:p>
        </w:tc>
        <w:tc>
          <w:tcPr/>
          <w:p>
            <w:pPr>
              <w:pStyle w:val="Compact"/>
              <w:jc w:val="left"/>
            </w:pPr>
            <w:r>
              <w:t xml:space="preserve">0.44</w:t>
            </w:r>
          </w:p>
        </w:tc>
        <w:tc>
          <w:tcPr/>
          <w:p>
            <w:pPr>
              <w:pStyle w:val="Compact"/>
              <w:jc w:val="left"/>
            </w:pPr>
            <w:r>
              <w:t xml:space="preserve">0.02</w:t>
            </w:r>
          </w:p>
        </w:tc>
        <w:tc>
          <w:tcPr/>
          <w:p>
            <w:pPr>
              <w:pStyle w:val="Compact"/>
              <w:jc w:val="left"/>
            </w:pPr>
            <w:r>
              <w:t xml:space="preserve">0.03</w:t>
            </w:r>
          </w:p>
        </w:tc>
        <w:tc>
          <w:tcPr/>
          <w:p>
            <w:pPr>
              <w:pStyle w:val="Compact"/>
              <w:jc w:val="left"/>
            </w:pPr>
            <w:r>
              <w:t xml:space="preserve">0.5</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Collier County associated with for-hire marine recreational fishing trips in 2024 was estimated to be $40.53M, and these trips supported 431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Collier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Collier County 2024 Marine Rec. Fishing Contribution, for-hire</w:t>
      </w:r>
    </w:p>
    <w:tbl>
      <w:tblPr>
        <w:tblStyle w:val="Table"/>
        <w:tblW w:type="auto" w:w="0"/>
        <w:tblLook w:firstRow="1" w:lastRow="0" w:firstColumn="0" w:lastColumn="0" w:noHBand="0" w:noVBand="0" w:val="0020"/>
        <w:tblCaption w:val="Collier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28.6</w:t>
            </w:r>
          </w:p>
        </w:tc>
        <w:tc>
          <w:tcPr/>
          <w:p>
            <w:pPr>
              <w:pStyle w:val="Compact"/>
              <w:jc w:val="left"/>
            </w:pPr>
            <w:r>
              <w:t xml:space="preserve">5.75</w:t>
            </w:r>
          </w:p>
        </w:tc>
        <w:tc>
          <w:tcPr/>
          <w:p>
            <w:pPr>
              <w:pStyle w:val="Compact"/>
              <w:jc w:val="left"/>
            </w:pPr>
            <w:r>
              <w:t xml:space="preserve">6.18</w:t>
            </w:r>
          </w:p>
        </w:tc>
        <w:tc>
          <w:tcPr/>
          <w:p>
            <w:pPr>
              <w:pStyle w:val="Compact"/>
              <w:jc w:val="left"/>
            </w:pPr>
            <w:r>
              <w:t xml:space="preserve">40.53</w:t>
            </w:r>
          </w:p>
        </w:tc>
      </w:tr>
      <w:tr>
        <w:tc>
          <w:tcPr/>
          <w:p>
            <w:pPr>
              <w:pStyle w:val="Compact"/>
              <w:jc w:val="left"/>
            </w:pPr>
            <w:r>
              <w:t xml:space="preserve">Employment (Jobs)</w:t>
            </w:r>
          </w:p>
        </w:tc>
        <w:tc>
          <w:tcPr/>
          <w:p>
            <w:pPr>
              <w:pStyle w:val="Compact"/>
              <w:jc w:val="left"/>
            </w:pPr>
            <w:r>
              <w:t xml:space="preserve">360</w:t>
            </w:r>
          </w:p>
        </w:tc>
        <w:tc>
          <w:tcPr/>
          <w:p>
            <w:pPr>
              <w:pStyle w:val="Compact"/>
              <w:jc w:val="left"/>
            </w:pPr>
            <w:r>
              <w:t xml:space="preserve">37</w:t>
            </w:r>
          </w:p>
        </w:tc>
        <w:tc>
          <w:tcPr/>
          <w:p>
            <w:pPr>
              <w:pStyle w:val="Compact"/>
              <w:jc w:val="left"/>
            </w:pPr>
            <w:r>
              <w:t xml:space="preserve">34</w:t>
            </w:r>
          </w:p>
        </w:tc>
        <w:tc>
          <w:tcPr/>
          <w:p>
            <w:pPr>
              <w:pStyle w:val="Compact"/>
              <w:jc w:val="left"/>
            </w:pPr>
            <w:r>
              <w:t xml:space="preserve">431</w:t>
            </w:r>
          </w:p>
        </w:tc>
      </w:tr>
      <w:tr>
        <w:tc>
          <w:tcPr/>
          <w:p>
            <w:pPr>
              <w:pStyle w:val="Compact"/>
              <w:jc w:val="left"/>
            </w:pPr>
            <w:r>
              <w:t xml:space="preserve">Value added($M.)</w:t>
            </w:r>
          </w:p>
        </w:tc>
        <w:tc>
          <w:tcPr/>
          <w:p>
            <w:pPr>
              <w:pStyle w:val="Compact"/>
              <w:jc w:val="left"/>
            </w:pPr>
            <w:r>
              <w:t xml:space="preserve">18.91</w:t>
            </w:r>
          </w:p>
        </w:tc>
        <w:tc>
          <w:tcPr/>
          <w:p>
            <w:pPr>
              <w:pStyle w:val="Compact"/>
              <w:jc w:val="left"/>
            </w:pPr>
            <w:r>
              <w:t xml:space="preserve">3.01</w:t>
            </w:r>
          </w:p>
        </w:tc>
        <w:tc>
          <w:tcPr/>
          <w:p>
            <w:pPr>
              <w:pStyle w:val="Compact"/>
              <w:jc w:val="left"/>
            </w:pPr>
            <w:r>
              <w:t xml:space="preserve">4.12</w:t>
            </w:r>
          </w:p>
        </w:tc>
        <w:tc>
          <w:tcPr/>
          <w:p>
            <w:pPr>
              <w:pStyle w:val="Compact"/>
              <w:jc w:val="left"/>
            </w:pPr>
            <w:r>
              <w:t xml:space="preserve">26.04</w:t>
            </w:r>
          </w:p>
        </w:tc>
      </w:tr>
      <w:tr>
        <w:tc>
          <w:tcPr/>
          <w:p>
            <w:pPr>
              <w:pStyle w:val="Compact"/>
              <w:jc w:val="left"/>
            </w:pPr>
            <w:r>
              <w:t xml:space="preserve">Labor Income($M.)</w:t>
            </w:r>
          </w:p>
        </w:tc>
        <w:tc>
          <w:tcPr/>
          <w:p>
            <w:pPr>
              <w:pStyle w:val="Compact"/>
              <w:jc w:val="left"/>
            </w:pPr>
            <w:r>
              <w:t xml:space="preserve">17.65</w:t>
            </w:r>
          </w:p>
        </w:tc>
        <w:tc>
          <w:tcPr/>
          <w:p>
            <w:pPr>
              <w:pStyle w:val="Compact"/>
              <w:jc w:val="left"/>
            </w:pPr>
            <w:r>
              <w:t xml:space="preserve">2.11</w:t>
            </w:r>
          </w:p>
        </w:tc>
        <w:tc>
          <w:tcPr/>
          <w:p>
            <w:pPr>
              <w:pStyle w:val="Compact"/>
              <w:jc w:val="left"/>
            </w:pPr>
            <w:r>
              <w:t xml:space="preserve">1.99</w:t>
            </w:r>
          </w:p>
        </w:tc>
        <w:tc>
          <w:tcPr/>
          <w:p>
            <w:pPr>
              <w:pStyle w:val="Compact"/>
              <w:jc w:val="left"/>
            </w:pPr>
            <w:r>
              <w:t xml:space="preserve">21.76</w:t>
            </w:r>
          </w:p>
        </w:tc>
      </w:tr>
      <w:tr>
        <w:tc>
          <w:tcPr/>
          <w:p>
            <w:pPr>
              <w:pStyle w:val="Compact"/>
              <w:jc w:val="left"/>
            </w:pPr>
            <w:r>
              <w:t xml:space="preserve">Other Property Income($M.)</w:t>
            </w:r>
          </w:p>
        </w:tc>
        <w:tc>
          <w:tcPr/>
          <w:p>
            <w:pPr>
              <w:pStyle w:val="Compact"/>
              <w:jc w:val="left"/>
            </w:pPr>
            <w:r>
              <w:t xml:space="preserve">-0.01</w:t>
            </w:r>
          </w:p>
        </w:tc>
        <w:tc>
          <w:tcPr/>
          <w:p>
            <w:pPr>
              <w:pStyle w:val="Compact"/>
              <w:jc w:val="left"/>
            </w:pPr>
            <w:r>
              <w:t xml:space="preserve">0.79</w:t>
            </w:r>
          </w:p>
        </w:tc>
        <w:tc>
          <w:tcPr/>
          <w:p>
            <w:pPr>
              <w:pStyle w:val="Compact"/>
              <w:jc w:val="left"/>
            </w:pPr>
            <w:r>
              <w:t xml:space="preserve">1.76</w:t>
            </w:r>
          </w:p>
        </w:tc>
        <w:tc>
          <w:tcPr/>
          <w:p>
            <w:pPr>
              <w:pStyle w:val="Compact"/>
              <w:jc w:val="left"/>
            </w:pPr>
            <w:r>
              <w:t xml:space="preserve">2.54</w:t>
            </w:r>
          </w:p>
        </w:tc>
      </w:tr>
      <w:tr>
        <w:tc>
          <w:tcPr/>
          <w:p>
            <w:pPr>
              <w:pStyle w:val="Compact"/>
              <w:jc w:val="left"/>
            </w:pPr>
            <w:r>
              <w:t xml:space="preserve">Indirect Business Tax($M.)</w:t>
            </w:r>
          </w:p>
        </w:tc>
        <w:tc>
          <w:tcPr/>
          <w:p>
            <w:pPr>
              <w:pStyle w:val="Compact"/>
              <w:jc w:val="left"/>
            </w:pPr>
            <w:r>
              <w:t xml:space="preserve">1.26</w:t>
            </w:r>
          </w:p>
        </w:tc>
        <w:tc>
          <w:tcPr/>
          <w:p>
            <w:pPr>
              <w:pStyle w:val="Compact"/>
              <w:jc w:val="left"/>
            </w:pPr>
            <w:r>
              <w:t xml:space="preserve">0.12</w:t>
            </w:r>
          </w:p>
        </w:tc>
        <w:tc>
          <w:tcPr/>
          <w:p>
            <w:pPr>
              <w:pStyle w:val="Compact"/>
              <w:jc w:val="left"/>
            </w:pPr>
            <w:r>
              <w:t xml:space="preserve">0.37</w:t>
            </w:r>
          </w:p>
        </w:tc>
        <w:tc>
          <w:tcPr/>
          <w:p>
            <w:pPr>
              <w:pStyle w:val="Compact"/>
              <w:jc w:val="left"/>
            </w:pPr>
            <w:r>
              <w:t xml:space="preserve">1.75</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Collier County associated with private/rental vessel marine recreational fishing trips in 2024 was estimated to be $55.44M, and these trips supported 388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Collier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Collier County 2024 Marine Rec. Fishing Contribution, Private vessel</w:t>
      </w:r>
    </w:p>
    <w:tbl>
      <w:tblPr>
        <w:tblStyle w:val="Table"/>
        <w:tblW w:type="auto" w:w="0"/>
        <w:tblLook w:firstRow="1" w:lastRow="0" w:firstColumn="0" w:lastColumn="0" w:noHBand="0" w:noVBand="0" w:val="0020"/>
        <w:tblCaption w:val="Collier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41.22</w:t>
            </w:r>
          </w:p>
        </w:tc>
        <w:tc>
          <w:tcPr/>
          <w:p>
            <w:pPr>
              <w:pStyle w:val="Compact"/>
              <w:jc w:val="left"/>
            </w:pPr>
            <w:r>
              <w:t xml:space="preserve">7.78</w:t>
            </w:r>
          </w:p>
        </w:tc>
        <w:tc>
          <w:tcPr/>
          <w:p>
            <w:pPr>
              <w:pStyle w:val="Compact"/>
              <w:jc w:val="left"/>
            </w:pPr>
            <w:r>
              <w:t xml:space="preserve">6.44</w:t>
            </w:r>
          </w:p>
        </w:tc>
        <w:tc>
          <w:tcPr/>
          <w:p>
            <w:pPr>
              <w:pStyle w:val="Compact"/>
              <w:jc w:val="left"/>
            </w:pPr>
            <w:r>
              <w:t xml:space="preserve">55.44</w:t>
            </w:r>
          </w:p>
        </w:tc>
      </w:tr>
      <w:tr>
        <w:tc>
          <w:tcPr/>
          <w:p>
            <w:pPr>
              <w:pStyle w:val="Compact"/>
              <w:jc w:val="left"/>
            </w:pPr>
            <w:r>
              <w:t xml:space="preserve">Employment (Jobs)</w:t>
            </w:r>
          </w:p>
        </w:tc>
        <w:tc>
          <w:tcPr/>
          <w:p>
            <w:pPr>
              <w:pStyle w:val="Compact"/>
              <w:jc w:val="left"/>
            </w:pPr>
            <w:r>
              <w:t xml:space="preserve">307</w:t>
            </w:r>
          </w:p>
        </w:tc>
        <w:tc>
          <w:tcPr/>
          <w:p>
            <w:pPr>
              <w:pStyle w:val="Compact"/>
              <w:jc w:val="left"/>
            </w:pPr>
            <w:r>
              <w:t xml:space="preserve">45</w:t>
            </w:r>
          </w:p>
        </w:tc>
        <w:tc>
          <w:tcPr/>
          <w:p>
            <w:pPr>
              <w:pStyle w:val="Compact"/>
              <w:jc w:val="left"/>
            </w:pPr>
            <w:r>
              <w:t xml:space="preserve">36</w:t>
            </w:r>
          </w:p>
        </w:tc>
        <w:tc>
          <w:tcPr/>
          <w:p>
            <w:pPr>
              <w:pStyle w:val="Compact"/>
              <w:jc w:val="left"/>
            </w:pPr>
            <w:r>
              <w:t xml:space="preserve">388</w:t>
            </w:r>
          </w:p>
        </w:tc>
      </w:tr>
      <w:tr>
        <w:tc>
          <w:tcPr/>
          <w:p>
            <w:pPr>
              <w:pStyle w:val="Compact"/>
              <w:jc w:val="left"/>
            </w:pPr>
            <w:r>
              <w:t xml:space="preserve">Value added($M.)</w:t>
            </w:r>
          </w:p>
        </w:tc>
        <w:tc>
          <w:tcPr/>
          <w:p>
            <w:pPr>
              <w:pStyle w:val="Compact"/>
              <w:jc w:val="left"/>
            </w:pPr>
            <w:r>
              <w:t xml:space="preserve">27.63</w:t>
            </w:r>
          </w:p>
        </w:tc>
        <w:tc>
          <w:tcPr/>
          <w:p>
            <w:pPr>
              <w:pStyle w:val="Compact"/>
              <w:jc w:val="left"/>
            </w:pPr>
            <w:r>
              <w:t xml:space="preserve">4</w:t>
            </w:r>
          </w:p>
        </w:tc>
        <w:tc>
          <w:tcPr/>
          <w:p>
            <w:pPr>
              <w:pStyle w:val="Compact"/>
              <w:jc w:val="left"/>
            </w:pPr>
            <w:r>
              <w:t xml:space="preserve">4.29</w:t>
            </w:r>
          </w:p>
        </w:tc>
        <w:tc>
          <w:tcPr/>
          <w:p>
            <w:pPr>
              <w:pStyle w:val="Compact"/>
              <w:jc w:val="left"/>
            </w:pPr>
            <w:r>
              <w:t xml:space="preserve">35.92</w:t>
            </w:r>
          </w:p>
        </w:tc>
      </w:tr>
      <w:tr>
        <w:tc>
          <w:tcPr/>
          <w:p>
            <w:pPr>
              <w:pStyle w:val="Compact"/>
              <w:jc w:val="left"/>
            </w:pPr>
            <w:r>
              <w:t xml:space="preserve">Labor Income($M.)</w:t>
            </w:r>
          </w:p>
        </w:tc>
        <w:tc>
          <w:tcPr/>
          <w:p>
            <w:pPr>
              <w:pStyle w:val="Compact"/>
              <w:jc w:val="left"/>
            </w:pPr>
            <w:r>
              <w:t xml:space="preserve">17.87</w:t>
            </w:r>
          </w:p>
        </w:tc>
        <w:tc>
          <w:tcPr/>
          <w:p>
            <w:pPr>
              <w:pStyle w:val="Compact"/>
              <w:jc w:val="left"/>
            </w:pPr>
            <w:r>
              <w:t xml:space="preserve">2.55</w:t>
            </w:r>
          </w:p>
        </w:tc>
        <w:tc>
          <w:tcPr/>
          <w:p>
            <w:pPr>
              <w:pStyle w:val="Compact"/>
              <w:jc w:val="left"/>
            </w:pPr>
            <w:r>
              <w:t xml:space="preserve">2.08</w:t>
            </w:r>
          </w:p>
        </w:tc>
        <w:tc>
          <w:tcPr/>
          <w:p>
            <w:pPr>
              <w:pStyle w:val="Compact"/>
              <w:jc w:val="left"/>
            </w:pPr>
            <w:r>
              <w:t xml:space="preserve">22.49</w:t>
            </w:r>
          </w:p>
        </w:tc>
      </w:tr>
      <w:tr>
        <w:tc>
          <w:tcPr/>
          <w:p>
            <w:pPr>
              <w:pStyle w:val="Compact"/>
              <w:jc w:val="left"/>
            </w:pPr>
            <w:r>
              <w:t xml:space="preserve">Other Property Income($M.)</w:t>
            </w:r>
          </w:p>
        </w:tc>
        <w:tc>
          <w:tcPr/>
          <w:p>
            <w:pPr>
              <w:pStyle w:val="Compact"/>
              <w:jc w:val="left"/>
            </w:pPr>
            <w:r>
              <w:t xml:space="preserve">6</w:t>
            </w:r>
          </w:p>
        </w:tc>
        <w:tc>
          <w:tcPr/>
          <w:p>
            <w:pPr>
              <w:pStyle w:val="Compact"/>
              <w:jc w:val="left"/>
            </w:pPr>
            <w:r>
              <w:t xml:space="preserve">1.27</w:t>
            </w:r>
          </w:p>
        </w:tc>
        <w:tc>
          <w:tcPr/>
          <w:p>
            <w:pPr>
              <w:pStyle w:val="Compact"/>
              <w:jc w:val="left"/>
            </w:pPr>
            <w:r>
              <w:t xml:space="preserve">1.83</w:t>
            </w:r>
          </w:p>
        </w:tc>
        <w:tc>
          <w:tcPr/>
          <w:p>
            <w:pPr>
              <w:pStyle w:val="Compact"/>
              <w:jc w:val="left"/>
            </w:pPr>
            <w:r>
              <w:t xml:space="preserve">9.11</w:t>
            </w:r>
          </w:p>
        </w:tc>
      </w:tr>
      <w:tr>
        <w:tc>
          <w:tcPr/>
          <w:p>
            <w:pPr>
              <w:pStyle w:val="Compact"/>
              <w:jc w:val="left"/>
            </w:pPr>
            <w:r>
              <w:t xml:space="preserve">Indirect Business Tax($M.)</w:t>
            </w:r>
          </w:p>
        </w:tc>
        <w:tc>
          <w:tcPr/>
          <w:p>
            <w:pPr>
              <w:pStyle w:val="Compact"/>
              <w:jc w:val="left"/>
            </w:pPr>
            <w:r>
              <w:t xml:space="preserve">3.75</w:t>
            </w:r>
          </w:p>
        </w:tc>
        <w:tc>
          <w:tcPr/>
          <w:p>
            <w:pPr>
              <w:pStyle w:val="Compact"/>
              <w:jc w:val="left"/>
            </w:pPr>
            <w:r>
              <w:t xml:space="preserve">0.18</w:t>
            </w:r>
          </w:p>
        </w:tc>
        <w:tc>
          <w:tcPr/>
          <w:p>
            <w:pPr>
              <w:pStyle w:val="Compact"/>
              <w:jc w:val="left"/>
            </w:pPr>
            <w:r>
              <w:t xml:space="preserve">0.38</w:t>
            </w:r>
          </w:p>
        </w:tc>
        <w:tc>
          <w:tcPr/>
          <w:p>
            <w:pPr>
              <w:pStyle w:val="Compact"/>
              <w:jc w:val="left"/>
            </w:pPr>
            <w:r>
              <w:t xml:space="preserve">4.32</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Collier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Collier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Collier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Collier County.</w:t>
      </w:r>
      <w:r>
        <w:t xml:space="preserve"> </w:t>
      </w:r>
      <w:r>
        <w:t xml:space="preserve">Nonetheless, we believe this report includes the most detailed accounting of the economic contributions associated with marine recreational fishing in Collier County to date. This information should help inform understanding of this important recreational activity, and may be useful for making decisions that affect recreational fishing opportunities in Collier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sipos624@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BBE205-05D4-456D-9D3F-B07430BF9564}"/>
</file>

<file path=customXml/itemProps2.xml><?xml version="1.0" encoding="utf-8"?>
<ds:datastoreItem xmlns:ds="http://schemas.openxmlformats.org/officeDocument/2006/customXml" ds:itemID="{175852A0-5882-4FC7-9431-A601518A9899}"/>
</file>

<file path=customXml/itemProps3.xml><?xml version="1.0" encoding="utf-8"?>
<ds:datastoreItem xmlns:ds="http://schemas.openxmlformats.org/officeDocument/2006/customXml" ds:itemID="{F6225697-3516-4A7F-BE97-E244BD479D4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Collier County</dc:title>
  <dc:creator>A data report for the Collier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Michael Sipos Florida Sea Grant Extension Agent Collier County sipos624@ufl.edu</dc:creator>
  <cp:keywords/>
  <dcterms:created xsi:type="dcterms:W3CDTF">2025-03-20T13:31:44Z</dcterms:created>
  <dcterms:modified xsi:type="dcterms:W3CDTF">2025-03-20T13:31:44Z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