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Duval County</w:t>
      </w:r>
    </w:p>
    <w:p>
      <w:pPr>
        <w:pStyle w:val="Author"/>
      </w:pPr>
      <w:r>
        <w:t xml:space="preserve">Prepared for the Duval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w:t>
      </w:r>
    </w:p>
    <w:bookmarkStart w:id="21" w:name="how-to-use-this-summary"/>
    <w:p>
      <w:pPr>
        <w:pStyle w:val="Heading3"/>
      </w:pPr>
      <w:r>
        <w:t xml:space="preserve">How to use this summary</w:t>
      </w:r>
    </w:p>
    <w:p>
      <w:pPr>
        <w:pStyle w:val="FirstParagraph"/>
      </w:pPr>
      <w:r>
        <w:t xml:space="preserve">This summary describes the 2024 economic contributions of marine recreational fishing to Duval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Duval County as of 2024. It does not describe its economic value. Still, this summary may help inform discussions and decision making related to policy, management, or environmental changes in or around Duval County that might impact recreational fishing activity, or when discussing similar changes that occur at a regional or state-wide scale but might affect Duval County.</w:t>
      </w:r>
    </w:p>
    <w:bookmarkEnd w:id="21"/>
    <w:bookmarkStart w:id="22"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Duval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Duval County and used to estimate contribution metrics via IMPLAN.</w:t>
      </w:r>
    </w:p>
    <w:bookmarkEnd w:id="22"/>
    <w:bookmarkStart w:id="23"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Duval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Duval County is given in the bottom right cell.</w:t>
      </w:r>
    </w:p>
    <w:p>
      <w:pPr>
        <w:pStyle w:val="TableCaption"/>
      </w:pPr>
      <w:r>
        <w:t xml:space="preserve">Duval Marine Rec. Fishing Contribution, Industry Output</w:t>
      </w:r>
    </w:p>
    <w:tbl>
      <w:tblPr>
        <w:tblStyle w:val="Table"/>
        <w:tblW w:type="auto" w:w="0"/>
        <w:tblLook w:firstRow="1" w:lastRow="0" w:firstColumn="0" w:lastColumn="0" w:noHBand="0" w:noVBand="0" w:val="0020"/>
        <w:tblCaption w:val="Duval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38.56</w:t>
            </w:r>
          </w:p>
        </w:tc>
        <w:tc>
          <w:tcPr/>
          <w:p>
            <w:pPr>
              <w:pStyle w:val="Compact"/>
              <w:jc w:val="left"/>
            </w:pPr>
            <w:r>
              <w:t xml:space="preserve">15.28</w:t>
            </w:r>
          </w:p>
        </w:tc>
        <w:tc>
          <w:tcPr/>
          <w:p>
            <w:pPr>
              <w:pStyle w:val="Compact"/>
              <w:jc w:val="left"/>
            </w:pPr>
            <w:r>
              <w:t xml:space="preserve">11.55</w:t>
            </w:r>
          </w:p>
        </w:tc>
        <w:tc>
          <w:tcPr/>
          <w:p>
            <w:pPr>
              <w:pStyle w:val="Compact"/>
              <w:jc w:val="left"/>
            </w:pPr>
            <w:r>
              <w:t xml:space="preserve">65.39</w:t>
            </w:r>
          </w:p>
        </w:tc>
      </w:tr>
      <w:tr>
        <w:tc>
          <w:tcPr/>
          <w:p>
            <w:pPr>
              <w:pStyle w:val="Compact"/>
              <w:jc w:val="left"/>
            </w:pPr>
            <w:r>
              <w:t xml:space="preserve">For-hire</w:t>
            </w:r>
          </w:p>
        </w:tc>
        <w:tc>
          <w:tcPr/>
          <w:p>
            <w:pPr>
              <w:pStyle w:val="Compact"/>
              <w:jc w:val="left"/>
            </w:pPr>
            <w:r>
              <w:t xml:space="preserve">7.14</w:t>
            </w:r>
          </w:p>
        </w:tc>
        <w:tc>
          <w:tcPr/>
          <w:p>
            <w:pPr>
              <w:pStyle w:val="Compact"/>
              <w:jc w:val="left"/>
            </w:pPr>
            <w:r>
              <w:t xml:space="preserve">1.82</w:t>
            </w:r>
          </w:p>
        </w:tc>
        <w:tc>
          <w:tcPr/>
          <w:p>
            <w:pPr>
              <w:pStyle w:val="Compact"/>
              <w:jc w:val="left"/>
            </w:pPr>
            <w:r>
              <w:t xml:space="preserve">4</w:t>
            </w:r>
          </w:p>
        </w:tc>
        <w:tc>
          <w:tcPr/>
          <w:p>
            <w:pPr>
              <w:pStyle w:val="Compact"/>
              <w:jc w:val="left"/>
            </w:pPr>
            <w:r>
              <w:t xml:space="preserve">12.96</w:t>
            </w:r>
          </w:p>
        </w:tc>
      </w:tr>
      <w:tr>
        <w:tc>
          <w:tcPr/>
          <w:p>
            <w:pPr>
              <w:pStyle w:val="Compact"/>
              <w:jc w:val="left"/>
            </w:pPr>
            <w:r>
              <w:t xml:space="preserve">Private Vessel</w:t>
            </w:r>
          </w:p>
        </w:tc>
        <w:tc>
          <w:tcPr/>
          <w:p>
            <w:pPr>
              <w:pStyle w:val="Compact"/>
              <w:jc w:val="left"/>
            </w:pPr>
            <w:r>
              <w:t xml:space="preserve">92.5</w:t>
            </w:r>
          </w:p>
        </w:tc>
        <w:tc>
          <w:tcPr/>
          <w:p>
            <w:pPr>
              <w:pStyle w:val="Compact"/>
              <w:jc w:val="left"/>
            </w:pPr>
            <w:r>
              <w:t xml:space="preserve">33.55</w:t>
            </w:r>
          </w:p>
        </w:tc>
        <w:tc>
          <w:tcPr/>
          <w:p>
            <w:pPr>
              <w:pStyle w:val="Compact"/>
              <w:jc w:val="left"/>
            </w:pPr>
            <w:r>
              <w:t xml:space="preserve">31.44</w:t>
            </w:r>
          </w:p>
        </w:tc>
        <w:tc>
          <w:tcPr/>
          <w:p>
            <w:pPr>
              <w:pStyle w:val="Compact"/>
              <w:jc w:val="left"/>
            </w:pPr>
            <w:r>
              <w:t xml:space="preserve">157.49</w:t>
            </w:r>
          </w:p>
        </w:tc>
      </w:tr>
      <w:tr>
        <w:tc>
          <w:tcPr/>
          <w:p>
            <w:pPr>
              <w:pStyle w:val="Compact"/>
              <w:jc w:val="left"/>
            </w:pPr>
            <w:r>
              <w:t xml:space="preserve">All Mar. Rec. Fishing</w:t>
            </w:r>
          </w:p>
        </w:tc>
        <w:tc>
          <w:tcPr/>
          <w:p>
            <w:pPr>
              <w:pStyle w:val="Compact"/>
              <w:jc w:val="left"/>
            </w:pPr>
            <w:r>
              <w:t xml:space="preserve">138.2</w:t>
            </w:r>
          </w:p>
        </w:tc>
        <w:tc>
          <w:tcPr/>
          <w:p>
            <w:pPr>
              <w:pStyle w:val="Compact"/>
              <w:jc w:val="left"/>
            </w:pPr>
            <w:r>
              <w:t xml:space="preserve">50.65</w:t>
            </w:r>
          </w:p>
        </w:tc>
        <w:tc>
          <w:tcPr/>
          <w:p>
            <w:pPr>
              <w:pStyle w:val="Compact"/>
              <w:jc w:val="left"/>
            </w:pPr>
            <w:r>
              <w:t xml:space="preserve">46.99</w:t>
            </w:r>
          </w:p>
        </w:tc>
        <w:tc>
          <w:tcPr/>
          <w:p>
            <w:pPr>
              <w:pStyle w:val="Compact"/>
              <w:jc w:val="left"/>
            </w:pPr>
            <w:r>
              <w:t xml:space="preserve">235.84</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Duval County is given in the bottom right cell.</w:t>
      </w:r>
    </w:p>
    <w:p>
      <w:pPr>
        <w:pStyle w:val="TableCaption"/>
      </w:pPr>
      <w:r>
        <w:t xml:space="preserve">Duval Marine Rec. Fishing Contribution, Employment</w:t>
      </w:r>
    </w:p>
    <w:tbl>
      <w:tblPr>
        <w:tblStyle w:val="Table"/>
        <w:tblW w:type="auto" w:w="0"/>
        <w:tblLook w:firstRow="1" w:lastRow="0" w:firstColumn="0" w:lastColumn="0" w:noHBand="0" w:noVBand="0" w:val="0020"/>
        <w:tblCaption w:val="Duval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406</w:t>
            </w:r>
          </w:p>
        </w:tc>
        <w:tc>
          <w:tcPr/>
          <w:p>
            <w:pPr>
              <w:pStyle w:val="Compact"/>
              <w:jc w:val="left"/>
            </w:pPr>
            <w:r>
              <w:t xml:space="preserve">75</w:t>
            </w:r>
          </w:p>
        </w:tc>
        <w:tc>
          <w:tcPr/>
          <w:p>
            <w:pPr>
              <w:pStyle w:val="Compact"/>
              <w:jc w:val="left"/>
            </w:pPr>
            <w:r>
              <w:t xml:space="preserve">62</w:t>
            </w:r>
          </w:p>
        </w:tc>
        <w:tc>
          <w:tcPr/>
          <w:p>
            <w:pPr>
              <w:pStyle w:val="Compact"/>
              <w:jc w:val="left"/>
            </w:pPr>
            <w:r>
              <w:t xml:space="preserve">542</w:t>
            </w:r>
          </w:p>
        </w:tc>
      </w:tr>
      <w:tr>
        <w:tc>
          <w:tcPr/>
          <w:p>
            <w:pPr>
              <w:pStyle w:val="Compact"/>
              <w:jc w:val="left"/>
            </w:pPr>
            <w:r>
              <w:t xml:space="preserve">For-hire</w:t>
            </w:r>
          </w:p>
        </w:tc>
        <w:tc>
          <w:tcPr/>
          <w:p>
            <w:pPr>
              <w:pStyle w:val="Compact"/>
              <w:jc w:val="left"/>
            </w:pPr>
            <w:r>
              <w:t xml:space="preserve">67</w:t>
            </w:r>
          </w:p>
        </w:tc>
        <w:tc>
          <w:tcPr/>
          <w:p>
            <w:pPr>
              <w:pStyle w:val="Compact"/>
              <w:jc w:val="left"/>
            </w:pPr>
            <w:r>
              <w:t xml:space="preserve">11</w:t>
            </w:r>
          </w:p>
        </w:tc>
        <w:tc>
          <w:tcPr/>
          <w:p>
            <w:pPr>
              <w:pStyle w:val="Compact"/>
              <w:jc w:val="left"/>
            </w:pPr>
            <w:r>
              <w:t xml:space="preserve">21</w:t>
            </w:r>
          </w:p>
        </w:tc>
        <w:tc>
          <w:tcPr/>
          <w:p>
            <w:pPr>
              <w:pStyle w:val="Compact"/>
              <w:jc w:val="left"/>
            </w:pPr>
            <w:r>
              <w:t xml:space="preserve">99</w:t>
            </w:r>
          </w:p>
        </w:tc>
      </w:tr>
      <w:tr>
        <w:tc>
          <w:tcPr/>
          <w:p>
            <w:pPr>
              <w:pStyle w:val="Compact"/>
              <w:jc w:val="left"/>
            </w:pPr>
            <w:r>
              <w:t xml:space="preserve">Private Vessel</w:t>
            </w:r>
          </w:p>
        </w:tc>
        <w:tc>
          <w:tcPr/>
          <w:p>
            <w:pPr>
              <w:pStyle w:val="Compact"/>
              <w:jc w:val="left"/>
            </w:pPr>
            <w:r>
              <w:t xml:space="preserve">761</w:t>
            </w:r>
          </w:p>
        </w:tc>
        <w:tc>
          <w:tcPr/>
          <w:p>
            <w:pPr>
              <w:pStyle w:val="Compact"/>
              <w:jc w:val="left"/>
            </w:pPr>
            <w:r>
              <w:t xml:space="preserve">175</w:t>
            </w:r>
          </w:p>
        </w:tc>
        <w:tc>
          <w:tcPr/>
          <w:p>
            <w:pPr>
              <w:pStyle w:val="Compact"/>
              <w:jc w:val="left"/>
            </w:pPr>
            <w:r>
              <w:t xml:space="preserve">168</w:t>
            </w:r>
          </w:p>
        </w:tc>
        <w:tc>
          <w:tcPr/>
          <w:p>
            <w:pPr>
              <w:pStyle w:val="Compact"/>
              <w:jc w:val="left"/>
            </w:pPr>
            <w:r>
              <w:t xml:space="preserve">1104</w:t>
            </w:r>
          </w:p>
        </w:tc>
      </w:tr>
      <w:tr>
        <w:tc>
          <w:tcPr/>
          <w:p>
            <w:pPr>
              <w:pStyle w:val="Compact"/>
              <w:jc w:val="left"/>
            </w:pPr>
            <w:r>
              <w:t xml:space="preserve">All Mar. Rec. Fishing</w:t>
            </w:r>
          </w:p>
        </w:tc>
        <w:tc>
          <w:tcPr/>
          <w:p>
            <w:pPr>
              <w:pStyle w:val="Compact"/>
              <w:jc w:val="left"/>
            </w:pPr>
            <w:r>
              <w:t xml:space="preserve">1234</w:t>
            </w:r>
          </w:p>
        </w:tc>
        <w:tc>
          <w:tcPr/>
          <w:p>
            <w:pPr>
              <w:pStyle w:val="Compact"/>
              <w:jc w:val="left"/>
            </w:pPr>
            <w:r>
              <w:t xml:space="preserve">261</w:t>
            </w:r>
          </w:p>
        </w:tc>
        <w:tc>
          <w:tcPr/>
          <w:p>
            <w:pPr>
              <w:pStyle w:val="Compact"/>
              <w:jc w:val="left"/>
            </w:pPr>
            <w:r>
              <w:t xml:space="preserve">251</w:t>
            </w:r>
          </w:p>
        </w:tc>
        <w:tc>
          <w:tcPr/>
          <w:p>
            <w:pPr>
              <w:pStyle w:val="Compact"/>
              <w:jc w:val="left"/>
            </w:pPr>
            <w:r>
              <w:t xml:space="preserve">1745</w:t>
            </w:r>
          </w:p>
        </w:tc>
      </w:tr>
    </w:tbl>
    <w:bookmarkEnd w:id="23"/>
    <w:bookmarkStart w:id="24" w:name="summary"/>
    <w:p>
      <w:pPr>
        <w:pStyle w:val="Heading3"/>
      </w:pPr>
      <w:r>
        <w:t xml:space="preserve">Summary</w:t>
      </w:r>
    </w:p>
    <w:p>
      <w:pPr>
        <w:pStyle w:val="FirstParagraph"/>
      </w:pPr>
      <w:r>
        <w:t xml:space="preserve">This summary shows that marine recreational fishing in Duval County contributed $235.84M and 1745 jobs to the Duval County economy in 2024. Again, it is critical to understand that this is not economic value, but nonetheless should be helpful for understanding the economic importance of marine recreational fishing to Duval County.</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3" Type="http://schemas.openxmlformats.org/officeDocument/2006/relationships/customXml" Target="../customXml/item3.xml"/><Relationship Id="rId4" Type="http://schemas.openxmlformats.org/officeDocument/2006/relationships/webSettings" Target="webSettings.xml"/><Relationship Id="rId22"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CE93B1-C806-4117-8680-2767F0763BB7}"/>
</file>

<file path=customXml/itemProps2.xml><?xml version="1.0" encoding="utf-8"?>
<ds:datastoreItem xmlns:ds="http://schemas.openxmlformats.org/officeDocument/2006/customXml" ds:itemID="{FF3C48CB-9A0B-4880-A1CC-5FB2B419E653}"/>
</file>

<file path=customXml/itemProps3.xml><?xml version="1.0" encoding="utf-8"?>
<ds:datastoreItem xmlns:ds="http://schemas.openxmlformats.org/officeDocument/2006/customXml" ds:itemID="{449F3F4E-3D85-4648-AAAC-C78C61D8072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Duval County</dc:title>
  <dc:creator>Prepared for the Duval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dc:creator>
  <cp:keywords/>
  <dcterms:created xsi:type="dcterms:W3CDTF">2025-03-19T19:28:43Z</dcterms:created>
  <dcterms:modified xsi:type="dcterms:W3CDTF">2025-03-19T19:28:43Z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