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Escambia County</w:t>
      </w:r>
    </w:p>
    <w:p>
      <w:pPr>
        <w:pStyle w:val="Author"/>
      </w:pPr>
      <w:r>
        <w:t xml:space="preserve">Prepared for the Escambia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Rick O’Connor, Florida Sea Grant Extension Agent Escambia County.</w:t>
      </w:r>
      <w:r>
        <w:t xml:space="preserve"> </w:t>
      </w:r>
      <w:hyperlink r:id="rId21">
        <w:r>
          <w:rPr>
            <w:rStyle w:val="Hyperlink"/>
          </w:rPr>
          <w:t xml:space="preserve">roc1@ufl.edu</w:t>
        </w:r>
      </w:hyperlink>
    </w:p>
    <w:bookmarkStart w:id="22" w:name="how-to-use-this-summary"/>
    <w:p>
      <w:pPr>
        <w:pStyle w:val="Heading3"/>
      </w:pPr>
      <w:r>
        <w:t xml:space="preserve">How to use this summary</w:t>
      </w:r>
    </w:p>
    <w:p>
      <w:pPr>
        <w:pStyle w:val="FirstParagraph"/>
      </w:pPr>
      <w:r>
        <w:t xml:space="preserve">This summary describes the 2024 economic contributions of marine recreational fishing to Escambia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Escambia County as of 2024. It does not describe its economic value. Still, this summary may help inform discussions and decision making related to policy, management, or environmental changes in or around Escambia County that might impact recreational fishing activity, or when discussing similar changes that occur at a regional or state-wide scale but might affect Escambia County.</w:t>
      </w:r>
    </w:p>
    <w:bookmarkEnd w:id="22"/>
    <w:bookmarkStart w:id="23"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Escambia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Escambia County and used to estimate contribution metrics via IMPLAN.</w:t>
      </w:r>
    </w:p>
    <w:bookmarkEnd w:id="23"/>
    <w:bookmarkStart w:id="24"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Escambia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Escambia County is given in the bottom right cell.</w:t>
      </w:r>
    </w:p>
    <w:p>
      <w:pPr>
        <w:pStyle w:val="TableCaption"/>
      </w:pPr>
      <w:r>
        <w:t xml:space="preserve">Escambia Marine Rec. Fishing Contribution, Industry Output</w:t>
      </w:r>
    </w:p>
    <w:tbl>
      <w:tblPr>
        <w:tblStyle w:val="Table"/>
        <w:tblW w:type="auto" w:w="0"/>
        <w:tblLook w:firstRow="1" w:lastRow="0" w:firstColumn="0" w:lastColumn="0" w:noHBand="0" w:noVBand="0" w:val="0020"/>
        <w:tblCaption w:val="Escambia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87.1</w:t>
            </w:r>
          </w:p>
        </w:tc>
        <w:tc>
          <w:tcPr/>
          <w:p>
            <w:pPr>
              <w:pStyle w:val="Compact"/>
              <w:jc w:val="left"/>
            </w:pPr>
            <w:r>
              <w:t xml:space="preserve">22.56</w:t>
            </w:r>
          </w:p>
        </w:tc>
        <w:tc>
          <w:tcPr/>
          <w:p>
            <w:pPr>
              <w:pStyle w:val="Compact"/>
              <w:jc w:val="left"/>
            </w:pPr>
            <w:r>
              <w:t xml:space="preserve">17.94</w:t>
            </w:r>
          </w:p>
        </w:tc>
        <w:tc>
          <w:tcPr/>
          <w:p>
            <w:pPr>
              <w:pStyle w:val="Compact"/>
              <w:jc w:val="left"/>
            </w:pPr>
            <w:r>
              <w:t xml:space="preserve">127.6</w:t>
            </w:r>
          </w:p>
        </w:tc>
      </w:tr>
      <w:tr>
        <w:tc>
          <w:tcPr/>
          <w:p>
            <w:pPr>
              <w:pStyle w:val="Compact"/>
              <w:jc w:val="left"/>
            </w:pPr>
            <w:r>
              <w:t xml:space="preserve">For-hire</w:t>
            </w:r>
          </w:p>
        </w:tc>
        <w:tc>
          <w:tcPr/>
          <w:p>
            <w:pPr>
              <w:pStyle w:val="Compact"/>
              <w:jc w:val="left"/>
            </w:pPr>
            <w:r>
              <w:t xml:space="preserve">10.41</w:t>
            </w:r>
          </w:p>
        </w:tc>
        <w:tc>
          <w:tcPr/>
          <w:p>
            <w:pPr>
              <w:pStyle w:val="Compact"/>
              <w:jc w:val="left"/>
            </w:pPr>
            <w:r>
              <w:t xml:space="preserve">2.88</w:t>
            </w:r>
          </w:p>
        </w:tc>
        <w:tc>
          <w:tcPr/>
          <w:p>
            <w:pPr>
              <w:pStyle w:val="Compact"/>
              <w:jc w:val="left"/>
            </w:pPr>
            <w:r>
              <w:t xml:space="preserve">3.46</w:t>
            </w:r>
          </w:p>
        </w:tc>
        <w:tc>
          <w:tcPr/>
          <w:p>
            <w:pPr>
              <w:pStyle w:val="Compact"/>
              <w:jc w:val="left"/>
            </w:pPr>
            <w:r>
              <w:t xml:space="preserve">16.75</w:t>
            </w:r>
          </w:p>
        </w:tc>
      </w:tr>
      <w:tr>
        <w:tc>
          <w:tcPr/>
          <w:p>
            <w:pPr>
              <w:pStyle w:val="Compact"/>
              <w:jc w:val="left"/>
            </w:pPr>
            <w:r>
              <w:t xml:space="preserve">Private Vessel</w:t>
            </w:r>
          </w:p>
        </w:tc>
        <w:tc>
          <w:tcPr/>
          <w:p>
            <w:pPr>
              <w:pStyle w:val="Compact"/>
              <w:jc w:val="left"/>
            </w:pPr>
            <w:r>
              <w:t xml:space="preserve">28.91</w:t>
            </w:r>
          </w:p>
        </w:tc>
        <w:tc>
          <w:tcPr/>
          <w:p>
            <w:pPr>
              <w:pStyle w:val="Compact"/>
              <w:jc w:val="left"/>
            </w:pPr>
            <w:r>
              <w:t xml:space="preserve">7.44</w:t>
            </w:r>
          </w:p>
        </w:tc>
        <w:tc>
          <w:tcPr/>
          <w:p>
            <w:pPr>
              <w:pStyle w:val="Compact"/>
              <w:jc w:val="left"/>
            </w:pPr>
            <w:r>
              <w:t xml:space="preserve">6.56</w:t>
            </w:r>
          </w:p>
        </w:tc>
        <w:tc>
          <w:tcPr/>
          <w:p>
            <w:pPr>
              <w:pStyle w:val="Compact"/>
              <w:jc w:val="left"/>
            </w:pPr>
            <w:r>
              <w:t xml:space="preserve">42.91</w:t>
            </w:r>
          </w:p>
        </w:tc>
      </w:tr>
      <w:tr>
        <w:tc>
          <w:tcPr/>
          <w:p>
            <w:pPr>
              <w:pStyle w:val="Compact"/>
              <w:jc w:val="left"/>
            </w:pPr>
            <w:r>
              <w:t xml:space="preserve">All Mar. Rec. Fishing</w:t>
            </w:r>
          </w:p>
        </w:tc>
        <w:tc>
          <w:tcPr/>
          <w:p>
            <w:pPr>
              <w:pStyle w:val="Compact"/>
              <w:jc w:val="left"/>
            </w:pPr>
            <w:r>
              <w:t xml:space="preserve">126.42</w:t>
            </w:r>
          </w:p>
        </w:tc>
        <w:tc>
          <w:tcPr/>
          <w:p>
            <w:pPr>
              <w:pStyle w:val="Compact"/>
              <w:jc w:val="left"/>
            </w:pPr>
            <w:r>
              <w:t xml:space="preserve">32.88</w:t>
            </w:r>
          </w:p>
        </w:tc>
        <w:tc>
          <w:tcPr/>
          <w:p>
            <w:pPr>
              <w:pStyle w:val="Compact"/>
              <w:jc w:val="left"/>
            </w:pPr>
            <w:r>
              <w:t xml:space="preserve">27.96</w:t>
            </w:r>
          </w:p>
        </w:tc>
        <w:tc>
          <w:tcPr/>
          <w:p>
            <w:pPr>
              <w:pStyle w:val="Compact"/>
              <w:jc w:val="left"/>
            </w:pPr>
            <w:r>
              <w:t xml:space="preserve">187.26</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Escambia County is given in the bottom right cell.</w:t>
      </w:r>
    </w:p>
    <w:p>
      <w:pPr>
        <w:pStyle w:val="TableCaption"/>
      </w:pPr>
      <w:r>
        <w:t xml:space="preserve">Escambia Marine Rec. Fishing Contribution, Employment</w:t>
      </w:r>
    </w:p>
    <w:tbl>
      <w:tblPr>
        <w:tblStyle w:val="Table"/>
        <w:tblW w:type="auto" w:w="0"/>
        <w:tblLook w:firstRow="1" w:lastRow="0" w:firstColumn="0" w:lastColumn="0" w:noHBand="0" w:noVBand="0" w:val="0020"/>
        <w:tblCaption w:val="Escambia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889</w:t>
            </w:r>
          </w:p>
        </w:tc>
        <w:tc>
          <w:tcPr/>
          <w:p>
            <w:pPr>
              <w:pStyle w:val="Compact"/>
              <w:jc w:val="left"/>
            </w:pPr>
            <w:r>
              <w:t xml:space="preserve">136</w:t>
            </w:r>
          </w:p>
        </w:tc>
        <w:tc>
          <w:tcPr/>
          <w:p>
            <w:pPr>
              <w:pStyle w:val="Compact"/>
              <w:jc w:val="left"/>
            </w:pPr>
            <w:r>
              <w:t xml:space="preserve">107</w:t>
            </w:r>
          </w:p>
        </w:tc>
        <w:tc>
          <w:tcPr/>
          <w:p>
            <w:pPr>
              <w:pStyle w:val="Compact"/>
              <w:jc w:val="left"/>
            </w:pPr>
            <w:r>
              <w:t xml:space="preserve">1133</w:t>
            </w:r>
          </w:p>
        </w:tc>
      </w:tr>
      <w:tr>
        <w:tc>
          <w:tcPr/>
          <w:p>
            <w:pPr>
              <w:pStyle w:val="Compact"/>
              <w:jc w:val="left"/>
            </w:pPr>
            <w:r>
              <w:t xml:space="preserve">For-hire</w:t>
            </w:r>
          </w:p>
        </w:tc>
        <w:tc>
          <w:tcPr/>
          <w:p>
            <w:pPr>
              <w:pStyle w:val="Compact"/>
              <w:jc w:val="left"/>
            </w:pPr>
            <w:r>
              <w:t xml:space="preserve">141</w:t>
            </w:r>
          </w:p>
        </w:tc>
        <w:tc>
          <w:tcPr/>
          <w:p>
            <w:pPr>
              <w:pStyle w:val="Compact"/>
              <w:jc w:val="left"/>
            </w:pPr>
            <w:r>
              <w:t xml:space="preserve">21</w:t>
            </w:r>
          </w:p>
        </w:tc>
        <w:tc>
          <w:tcPr/>
          <w:p>
            <w:pPr>
              <w:pStyle w:val="Compact"/>
              <w:jc w:val="left"/>
            </w:pPr>
            <w:r>
              <w:t xml:space="preserve">21</w:t>
            </w:r>
          </w:p>
        </w:tc>
        <w:tc>
          <w:tcPr/>
          <w:p>
            <w:pPr>
              <w:pStyle w:val="Compact"/>
              <w:jc w:val="left"/>
            </w:pPr>
            <w:r>
              <w:t xml:space="preserve">182</w:t>
            </w:r>
          </w:p>
        </w:tc>
      </w:tr>
      <w:tr>
        <w:tc>
          <w:tcPr/>
          <w:p>
            <w:pPr>
              <w:pStyle w:val="Compact"/>
              <w:jc w:val="left"/>
            </w:pPr>
            <w:r>
              <w:t xml:space="preserve">Private Vessel</w:t>
            </w:r>
          </w:p>
        </w:tc>
        <w:tc>
          <w:tcPr/>
          <w:p>
            <w:pPr>
              <w:pStyle w:val="Compact"/>
              <w:jc w:val="left"/>
            </w:pPr>
            <w:r>
              <w:t xml:space="preserve">255</w:t>
            </w:r>
          </w:p>
        </w:tc>
        <w:tc>
          <w:tcPr/>
          <w:p>
            <w:pPr>
              <w:pStyle w:val="Compact"/>
              <w:jc w:val="left"/>
            </w:pPr>
            <w:r>
              <w:t xml:space="preserve">48</w:t>
            </w:r>
          </w:p>
        </w:tc>
        <w:tc>
          <w:tcPr/>
          <w:p>
            <w:pPr>
              <w:pStyle w:val="Compact"/>
              <w:jc w:val="left"/>
            </w:pPr>
            <w:r>
              <w:t xml:space="preserve">39</w:t>
            </w:r>
          </w:p>
        </w:tc>
        <w:tc>
          <w:tcPr/>
          <w:p>
            <w:pPr>
              <w:pStyle w:val="Compact"/>
              <w:jc w:val="left"/>
            </w:pPr>
            <w:r>
              <w:t xml:space="preserve">342</w:t>
            </w:r>
          </w:p>
        </w:tc>
      </w:tr>
      <w:tr>
        <w:tc>
          <w:tcPr/>
          <w:p>
            <w:pPr>
              <w:pStyle w:val="Compact"/>
              <w:jc w:val="left"/>
            </w:pPr>
            <w:r>
              <w:t xml:space="preserve">All Mar. Rec. Fishing</w:t>
            </w:r>
          </w:p>
        </w:tc>
        <w:tc>
          <w:tcPr/>
          <w:p>
            <w:pPr>
              <w:pStyle w:val="Compact"/>
              <w:jc w:val="left"/>
            </w:pPr>
            <w:r>
              <w:t xml:space="preserve">1285</w:t>
            </w:r>
          </w:p>
        </w:tc>
        <w:tc>
          <w:tcPr/>
          <w:p>
            <w:pPr>
              <w:pStyle w:val="Compact"/>
              <w:jc w:val="left"/>
            </w:pPr>
            <w:r>
              <w:t xml:space="preserve">205</w:t>
            </w:r>
          </w:p>
        </w:tc>
        <w:tc>
          <w:tcPr/>
          <w:p>
            <w:pPr>
              <w:pStyle w:val="Compact"/>
              <w:jc w:val="left"/>
            </w:pPr>
            <w:r>
              <w:t xml:space="preserve">167</w:t>
            </w:r>
          </w:p>
        </w:tc>
        <w:tc>
          <w:tcPr/>
          <w:p>
            <w:pPr>
              <w:pStyle w:val="Compact"/>
              <w:jc w:val="left"/>
            </w:pPr>
            <w:r>
              <w:t xml:space="preserve">1657</w:t>
            </w:r>
          </w:p>
        </w:tc>
      </w:tr>
    </w:tbl>
    <w:bookmarkEnd w:id="24"/>
    <w:bookmarkStart w:id="25" w:name="summary"/>
    <w:p>
      <w:pPr>
        <w:pStyle w:val="Heading3"/>
      </w:pPr>
      <w:r>
        <w:t xml:space="preserve">Summary</w:t>
      </w:r>
    </w:p>
    <w:p>
      <w:pPr>
        <w:pStyle w:val="FirstParagraph"/>
      </w:pPr>
      <w:r>
        <w:t xml:space="preserve">This summary shows that marine recreational fishing in Escambia County contributed $187.26M and 1657 jobs to the Escambia County economy in 2024. Again, it is critical to understand that this is not economic value, but nonetheless should be helpful for understanding the economic importance of marine recreational fishing to Escambia County.</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roc1@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roc1@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E5070B-947C-40BD-A7A6-D0D3075873C9}"/>
</file>

<file path=customXml/itemProps2.xml><?xml version="1.0" encoding="utf-8"?>
<ds:datastoreItem xmlns:ds="http://schemas.openxmlformats.org/officeDocument/2006/customXml" ds:itemID="{B5C5EB08-D506-49C8-9B95-FAC4136BCB88}"/>
</file>

<file path=customXml/itemProps3.xml><?xml version="1.0" encoding="utf-8"?>
<ds:datastoreItem xmlns:ds="http://schemas.openxmlformats.org/officeDocument/2006/customXml" ds:itemID="{D9752776-E7CC-46A4-9DD0-E5E89E3BEE01}"/>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Escambia County</dc:title>
  <dc:creator>Prepared for the Escambia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Rick O’Connor, Florida Sea Grant Extension Agent Escambia County. roc1@ufl.edu</dc:creator>
  <cp:keywords/>
  <dcterms:created xsi:type="dcterms:W3CDTF">2025-03-19T19:29:09Z</dcterms:created>
  <dcterms:modified xsi:type="dcterms:W3CDTF">2025-03-19T19:29:09Z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