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Flagler County</w:t>
      </w:r>
    </w:p>
    <w:p>
      <w:pPr>
        <w:pStyle w:val="Author"/>
      </w:pPr>
      <w:r>
        <w:t xml:space="preserve">Prepared for the Flagler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Carolyn Kovacs, Florida Sea Grant Agent Flagler County.</w:t>
      </w:r>
      <w:r>
        <w:t xml:space="preserve"> </w:t>
      </w:r>
      <w:hyperlink r:id="rId21">
        <w:r>
          <w:rPr>
            <w:rStyle w:val="Hyperlink"/>
          </w:rPr>
          <w:t xml:space="preserve">c.kovacs@ufl.edu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Flagler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Flagler County as of 2024. It does not describe its economic value. Still, this summary may help inform discussions and decision making related to policy, management, or environmental changes in or around Flagler County that might impact recreational fishing activity, or when discussing similar changes that occur at a regional or state-wide scale but might affect Flagler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Flagler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Flagler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Flagler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Flagler County is given in the bottom right cell.</w:t>
      </w:r>
    </w:p>
    <w:p>
      <w:pPr>
        <w:pStyle w:val="TableCaption"/>
      </w:pPr>
      <w:r>
        <w:t xml:space="preserve">Flagler Marine Rec. Fishing Contribution, Industry Output</w:t>
      </w:r>
    </w:p>
    <w:tbl>
      <w:tblPr>
        <w:tblStyle w:val="Table"/>
        <w:tblW w:type="auto" w:w="0"/>
        <w:tblLook w:firstRow="1" w:lastRow="0" w:firstColumn="0" w:lastColumn="0" w:noHBand="0" w:noVBand="0" w:val="0020"/>
        <w:tblCaption w:val="Flagler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3.19</w:t>
            </w:r>
          </w:p>
        </w:tc>
        <w:tc>
          <w:tcPr/>
          <w:p>
            <w:pPr>
              <w:pStyle w:val="Compact"/>
              <w:jc w:val="left"/>
            </w:pPr>
            <w:r>
              <w:t xml:space="preserve">0.78</w:t>
            </w:r>
          </w:p>
        </w:tc>
        <w:tc>
          <w:tcPr/>
          <w:p>
            <w:pPr>
              <w:pStyle w:val="Compact"/>
              <w:jc w:val="left"/>
            </w:pPr>
            <w:r>
              <w:t xml:space="preserve">0.51</w:t>
            </w:r>
          </w:p>
        </w:tc>
        <w:tc>
          <w:tcPr/>
          <w:p>
            <w:pPr>
              <w:pStyle w:val="Compact"/>
              <w:jc w:val="left"/>
            </w:pPr>
            <w:r>
              <w:t xml:space="preserve">4.48</w:t>
            </w:r>
          </w:p>
        </w:tc>
      </w:tr>
      <w:tr>
        <w:tc>
          <w:tcPr/>
          <w:p>
            <w:pPr>
              <w:pStyle w:val="Compact"/>
              <w:jc w:val="left"/>
            </w:pPr>
            <w:r>
              <w:t xml:space="preserve">For-hire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Private Vessel</w:t>
            </w:r>
          </w:p>
        </w:tc>
        <w:tc>
          <w:tcPr/>
          <w:p>
            <w:pPr>
              <w:pStyle w:val="Compact"/>
              <w:jc w:val="left"/>
            </w:pPr>
            <w:r>
              <w:t xml:space="preserve">12.08</w:t>
            </w:r>
          </w:p>
        </w:tc>
        <w:tc>
          <w:tcPr/>
          <w:p>
            <w:pPr>
              <w:pStyle w:val="Compact"/>
              <w:jc w:val="left"/>
            </w:pPr>
            <w:r>
              <w:t xml:space="preserve">3.24</w:t>
            </w:r>
          </w:p>
        </w:tc>
        <w:tc>
          <w:tcPr/>
          <w:p>
            <w:pPr>
              <w:pStyle w:val="Compact"/>
              <w:jc w:val="left"/>
            </w:pPr>
            <w:r>
              <w:t xml:space="preserve">2.24</w:t>
            </w:r>
          </w:p>
        </w:tc>
        <w:tc>
          <w:tcPr/>
          <w:p>
            <w:pPr>
              <w:pStyle w:val="Compact"/>
              <w:jc w:val="left"/>
            </w:pPr>
            <w:r>
              <w:t xml:space="preserve">17.56</w:t>
            </w:r>
          </w:p>
        </w:tc>
      </w:tr>
      <w:tr>
        <w:tc>
          <w:tcPr/>
          <w:p>
            <w:pPr>
              <w:pStyle w:val="Compact"/>
              <w:jc w:val="left"/>
            </w:pPr>
            <w:r>
              <w:t xml:space="preserve">All Mar. Rec. Fishing</w:t>
            </w:r>
          </w:p>
        </w:tc>
        <w:tc>
          <w:tcPr/>
          <w:p>
            <w:pPr>
              <w:pStyle w:val="Compact"/>
              <w:jc w:val="left"/>
            </w:pPr>
            <w:r>
              <w:t xml:space="preserve">15.27</w:t>
            </w:r>
          </w:p>
        </w:tc>
        <w:tc>
          <w:tcPr/>
          <w:p>
            <w:pPr>
              <w:pStyle w:val="Compact"/>
              <w:jc w:val="left"/>
            </w:pPr>
            <w:r>
              <w:t xml:space="preserve">4.02</w:t>
            </w:r>
          </w:p>
        </w:tc>
        <w:tc>
          <w:tcPr/>
          <w:p>
            <w:pPr>
              <w:pStyle w:val="Compact"/>
              <w:jc w:val="left"/>
            </w:pPr>
            <w:r>
              <w:t xml:space="preserve">2.75</w:t>
            </w:r>
          </w:p>
        </w:tc>
        <w:tc>
          <w:tcPr/>
          <w:p>
            <w:pPr>
              <w:pStyle w:val="Compact"/>
              <w:jc w:val="left"/>
            </w:pPr>
            <w:r>
              <w:t xml:space="preserve">22.04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Flagler County is given in the bottom right cell.</w:t>
      </w:r>
    </w:p>
    <w:p>
      <w:pPr>
        <w:pStyle w:val="TableCaption"/>
      </w:pPr>
      <w:r>
        <w:t xml:space="preserve">Flagler Marine Rec. Fishing Contribution, Employment</w:t>
      </w:r>
    </w:p>
    <w:tbl>
      <w:tblPr>
        <w:tblStyle w:val="Table"/>
        <w:tblW w:type="auto" w:w="0"/>
        <w:tblLook w:firstRow="1" w:lastRow="0" w:firstColumn="0" w:lastColumn="0" w:noHBand="0" w:noVBand="0" w:val="0020"/>
        <w:tblCaption w:val="Flagler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37</w:t>
            </w:r>
          </w:p>
        </w:tc>
        <w:tc>
          <w:tcPr/>
          <w:p>
            <w:pPr>
              <w:pStyle w:val="Compact"/>
              <w:jc w:val="left"/>
            </w:pPr>
            <w:r>
              <w:t xml:space="preserve">6</w:t>
            </w:r>
          </w:p>
        </w:tc>
        <w:tc>
          <w:tcPr/>
          <w:p>
            <w:pPr>
              <w:pStyle w:val="Compact"/>
              <w:jc w:val="left"/>
            </w:pPr>
            <w:r>
              <w:t xml:space="preserve">3</w:t>
            </w:r>
          </w:p>
        </w:tc>
        <w:tc>
          <w:tcPr/>
          <w:p>
            <w:pPr>
              <w:pStyle w:val="Compact"/>
              <w:jc w:val="left"/>
            </w:pPr>
            <w:r>
              <w:t xml:space="preserve">46</w:t>
            </w:r>
          </w:p>
        </w:tc>
      </w:tr>
      <w:tr>
        <w:tc>
          <w:tcPr/>
          <w:p>
            <w:pPr>
              <w:pStyle w:val="Compact"/>
              <w:jc w:val="left"/>
            </w:pPr>
            <w:r>
              <w:t xml:space="preserve">For-hire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Private Vessel</w:t>
            </w:r>
          </w:p>
        </w:tc>
        <w:tc>
          <w:tcPr/>
          <w:p>
            <w:pPr>
              <w:pStyle w:val="Compact"/>
              <w:jc w:val="left"/>
            </w:pPr>
            <w:r>
              <w:t xml:space="preserve">117</w:t>
            </w:r>
          </w:p>
        </w:tc>
        <w:tc>
          <w:tcPr/>
          <w:p>
            <w:pPr>
              <w:pStyle w:val="Compact"/>
              <w:jc w:val="left"/>
            </w:pPr>
            <w:r>
              <w:t xml:space="preserve">24</w:t>
            </w:r>
          </w:p>
        </w:tc>
        <w:tc>
          <w:tcPr/>
          <w:p>
            <w:pPr>
              <w:pStyle w:val="Compact"/>
              <w:jc w:val="left"/>
            </w:pPr>
            <w:r>
              <w:t xml:space="preserve">14</w:t>
            </w:r>
          </w:p>
        </w:tc>
        <w:tc>
          <w:tcPr/>
          <w:p>
            <w:pPr>
              <w:pStyle w:val="Compact"/>
              <w:jc w:val="left"/>
            </w:pPr>
            <w:r>
              <w:t xml:space="preserve">156</w:t>
            </w:r>
          </w:p>
        </w:tc>
      </w:tr>
      <w:tr>
        <w:tc>
          <w:tcPr/>
          <w:p>
            <w:pPr>
              <w:pStyle w:val="Compact"/>
              <w:jc w:val="left"/>
            </w:pPr>
            <w:r>
              <w:t xml:space="preserve">All Mar. Rec. Fishing</w:t>
            </w:r>
          </w:p>
        </w:tc>
        <w:tc>
          <w:tcPr/>
          <w:p>
            <w:pPr>
              <w:pStyle w:val="Compact"/>
              <w:jc w:val="left"/>
            </w:pPr>
            <w:r>
              <w:t xml:space="preserve">154</w:t>
            </w:r>
          </w:p>
        </w:tc>
        <w:tc>
          <w:tcPr/>
          <w:p>
            <w:pPr>
              <w:pStyle w:val="Compact"/>
              <w:jc w:val="left"/>
            </w:pPr>
            <w:r>
              <w:t xml:space="preserve">30</w:t>
            </w:r>
          </w:p>
        </w:tc>
        <w:tc>
          <w:tcPr/>
          <w:p>
            <w:pPr>
              <w:pStyle w:val="Compact"/>
              <w:jc w:val="left"/>
            </w:pPr>
            <w:r>
              <w:t xml:space="preserve">17</w:t>
            </w:r>
          </w:p>
        </w:tc>
        <w:tc>
          <w:tcPr/>
          <w:p>
            <w:pPr>
              <w:pStyle w:val="Compact"/>
              <w:jc w:val="left"/>
            </w:pPr>
            <w:r>
              <w:t xml:space="preserve">202</w:t>
            </w:r>
          </w:p>
        </w:tc>
      </w:tr>
    </w:tbl>
    <w:bookmarkEnd w:id="24"/>
    <w:bookmarkStart w:id="25" w:name="summary"/>
    <w:p>
      <w:pPr>
        <w:pStyle w:val="Heading3"/>
      </w:pPr>
      <w:r>
        <w:t xml:space="preserve">Summary</w:t>
      </w:r>
    </w:p>
    <w:p>
      <w:pPr>
        <w:pStyle w:val="FirstParagraph"/>
      </w:pPr>
      <w:r>
        <w:t xml:space="preserve">This summary shows that marine recreational fishing in Flagler County contributed $22.04M and 202 jobs to the Flagler County economy in 2024. Again, it is critical to understand that this is not economic value, but nonetheless should be helpful for understanding the economic importance of marine recreational fishing to Flagler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kovac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4DCE7F-D36D-4CBF-8588-CA48E9E22D0B}"/>
</file>

<file path=customXml/itemProps2.xml><?xml version="1.0" encoding="utf-8"?>
<ds:datastoreItem xmlns:ds="http://schemas.openxmlformats.org/officeDocument/2006/customXml" ds:itemID="{48C5B2C2-21FF-4C2B-8A90-BD652EE77A2E}"/>
</file>

<file path=customXml/itemProps3.xml><?xml version="1.0" encoding="utf-8"?>
<ds:datastoreItem xmlns:ds="http://schemas.openxmlformats.org/officeDocument/2006/customXml" ds:itemID="{9010FA04-101F-4E4A-B21D-258E9ACC9DF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Flagler County</dc:title>
  <dc:creator>Prepared for the Flagler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Carolyn Kovacs, Florida Sea Grant Agent Flagler County. c.kovacs@ufl.edu</dc:creator>
  <cp:keywords/>
  <dcterms:created xsi:type="dcterms:W3CDTF">2025-03-19T19:29:05Z</dcterms:created>
  <dcterms:modified xsi:type="dcterms:W3CDTF">2025-03-19T19:29:05Z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