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Gulf County</w:t>
      </w:r>
    </w:p>
    <w:p>
      <w:pPr>
        <w:pStyle w:val="Author"/>
      </w:pPr>
      <w:r>
        <w:t xml:space="preserve">Prepared for the Gulf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Ray Bodrey, Florida Sea Grant Extension Agent Gulf County.</w:t>
      </w:r>
      <w:r>
        <w:t xml:space="preserve"> </w:t>
      </w:r>
      <w:hyperlink r:id="rId21">
        <w:r>
          <w:rPr>
            <w:rStyle w:val="Hyperlink"/>
          </w:rPr>
          <w:t xml:space="preserve">rbodrey@ufl.edu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Gulf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Gulf County as of 2024. It does not describe its economic value. Still, this summary may help inform discussions and decision making related to policy, management, or environmental changes in or around Gulf County that might impact recreational fishing activity, or when discussing similar changes that occur at a regional or state-wide scale but might affect Gulf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Gulf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Gulf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Gulf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Gulf County is given in the bottom right cell.</w:t>
      </w:r>
    </w:p>
    <w:p>
      <w:pPr>
        <w:pStyle w:val="TableCaption"/>
      </w:pPr>
      <w:r>
        <w:t xml:space="preserve">Gulf Marine Rec. Fishing Contribution, Industry Output</w:t>
      </w:r>
    </w:p>
    <w:tbl>
      <w:tblPr>
        <w:tblStyle w:val="Table"/>
        <w:tblW w:type="auto" w:w="0"/>
        <w:tblLook w:firstRow="1" w:lastRow="0" w:firstColumn="0" w:lastColumn="0" w:noHBand="0" w:noVBand="0" w:val="0020"/>
        <w:tblCaption w:val="Gulf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5.74</w:t>
            </w:r>
          </w:p>
        </w:tc>
        <w:tc>
          <w:tcPr/>
          <w:p>
            <w:pPr>
              <w:pStyle w:val="Compact"/>
              <w:jc w:val="left"/>
            </w:pPr>
            <w:r>
              <w:t xml:space="preserve">1.43</w:t>
            </w:r>
          </w:p>
        </w:tc>
        <w:tc>
          <w:tcPr/>
          <w:p>
            <w:pPr>
              <w:pStyle w:val="Compact"/>
              <w:jc w:val="left"/>
            </w:pPr>
            <w:r>
              <w:t xml:space="preserve">0.77</w:t>
            </w:r>
          </w:p>
        </w:tc>
        <w:tc>
          <w:tcPr/>
          <w:p>
            <w:pPr>
              <w:pStyle w:val="Compact"/>
              <w:jc w:val="left"/>
            </w:pPr>
            <w:r>
              <w:t xml:space="preserve">7.95</w:t>
            </w:r>
          </w:p>
        </w:tc>
      </w:tr>
      <w:tr>
        <w:tc>
          <w:tcPr/>
          <w:p>
            <w:pPr>
              <w:pStyle w:val="Compact"/>
              <w:jc w:val="left"/>
            </w:pPr>
            <w:r>
              <w:t xml:space="preserve">For-hire</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0.18</w:t>
            </w:r>
          </w:p>
        </w:tc>
        <w:tc>
          <w:tcPr/>
          <w:p>
            <w:pPr>
              <w:pStyle w:val="Compact"/>
              <w:jc w:val="left"/>
            </w:pPr>
            <w:r>
              <w:t xml:space="preserve">1.39</w:t>
            </w:r>
          </w:p>
        </w:tc>
      </w:tr>
      <w:tr>
        <w:tc>
          <w:tcPr/>
          <w:p>
            <w:pPr>
              <w:pStyle w:val="Compact"/>
              <w:jc w:val="left"/>
            </w:pPr>
            <w:r>
              <w:t xml:space="preserve">Private Vessel</w:t>
            </w:r>
          </w:p>
        </w:tc>
        <w:tc>
          <w:tcPr/>
          <w:p>
            <w:pPr>
              <w:pStyle w:val="Compact"/>
              <w:jc w:val="left"/>
            </w:pPr>
            <w:r>
              <w:t xml:space="preserve">4.49</w:t>
            </w:r>
          </w:p>
        </w:tc>
        <w:tc>
          <w:tcPr/>
          <w:p>
            <w:pPr>
              <w:pStyle w:val="Compact"/>
              <w:jc w:val="left"/>
            </w:pPr>
            <w:r>
              <w:t xml:space="preserve">1.06</w:t>
            </w:r>
          </w:p>
        </w:tc>
        <w:tc>
          <w:tcPr/>
          <w:p>
            <w:pPr>
              <w:pStyle w:val="Compact"/>
              <w:jc w:val="left"/>
            </w:pPr>
            <w:r>
              <w:t xml:space="preserve">0.61</w:t>
            </w:r>
          </w:p>
        </w:tc>
        <w:tc>
          <w:tcPr/>
          <w:p>
            <w:pPr>
              <w:pStyle w:val="Compact"/>
              <w:jc w:val="left"/>
            </w:pPr>
            <w:r>
              <w:t xml:space="preserve">6.15</w:t>
            </w:r>
          </w:p>
        </w:tc>
      </w:tr>
      <w:tr>
        <w:tc>
          <w:tcPr/>
          <w:p>
            <w:pPr>
              <w:pStyle w:val="Compact"/>
              <w:jc w:val="left"/>
            </w:pPr>
            <w:r>
              <w:t xml:space="preserve">All Mar. Rec. Fishing</w:t>
            </w:r>
          </w:p>
        </w:tc>
        <w:tc>
          <w:tcPr/>
          <w:p>
            <w:pPr>
              <w:pStyle w:val="Compact"/>
              <w:jc w:val="left"/>
            </w:pPr>
            <w:r>
              <w:t xml:space="preserve">11.19</w:t>
            </w:r>
          </w:p>
        </w:tc>
        <w:tc>
          <w:tcPr/>
          <w:p>
            <w:pPr>
              <w:pStyle w:val="Compact"/>
              <w:jc w:val="left"/>
            </w:pPr>
            <w:r>
              <w:t xml:space="preserve">2.74</w:t>
            </w:r>
          </w:p>
        </w:tc>
        <w:tc>
          <w:tcPr/>
          <w:p>
            <w:pPr>
              <w:pStyle w:val="Compact"/>
              <w:jc w:val="left"/>
            </w:pPr>
            <w:r>
              <w:t xml:space="preserve">1.56</w:t>
            </w:r>
          </w:p>
        </w:tc>
        <w:tc>
          <w:tcPr/>
          <w:p>
            <w:pPr>
              <w:pStyle w:val="Compact"/>
              <w:jc w:val="left"/>
            </w:pPr>
            <w:r>
              <w:t xml:space="preserve">15.49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Gulf County is given in the bottom right cell.</w:t>
      </w:r>
    </w:p>
    <w:p>
      <w:pPr>
        <w:pStyle w:val="TableCaption"/>
      </w:pPr>
      <w:r>
        <w:t xml:space="preserve">Gulf Marine Rec. Fishing Contribution, Employment</w:t>
      </w:r>
    </w:p>
    <w:tbl>
      <w:tblPr>
        <w:tblStyle w:val="Table"/>
        <w:tblW w:type="auto" w:w="0"/>
        <w:tblLook w:firstRow="1" w:lastRow="0" w:firstColumn="0" w:lastColumn="0" w:noHBand="0" w:noVBand="0" w:val="0020"/>
        <w:tblCaption w:val="Gulf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63</w:t>
            </w:r>
          </w:p>
        </w:tc>
        <w:tc>
          <w:tcPr/>
          <w:p>
            <w:pPr>
              <w:pStyle w:val="Compact"/>
              <w:jc w:val="left"/>
            </w:pPr>
            <w:r>
              <w:t xml:space="preserve">9</w:t>
            </w:r>
          </w:p>
        </w:tc>
        <w:tc>
          <w:tcPr/>
          <w:p>
            <w:pPr>
              <w:pStyle w:val="Compact"/>
              <w:jc w:val="left"/>
            </w:pPr>
            <w:r>
              <w:t xml:space="preserve">4</w:t>
            </w:r>
          </w:p>
        </w:tc>
        <w:tc>
          <w:tcPr/>
          <w:p>
            <w:pPr>
              <w:pStyle w:val="Compact"/>
              <w:jc w:val="left"/>
            </w:pPr>
            <w:r>
              <w:t xml:space="preserve">76</w:t>
            </w:r>
          </w:p>
        </w:tc>
      </w:tr>
      <w:tr>
        <w:tc>
          <w:tcPr/>
          <w:p>
            <w:pPr>
              <w:pStyle w:val="Compact"/>
              <w:jc w:val="left"/>
            </w:pPr>
            <w:r>
              <w:t xml:space="preserve">For-hire</w:t>
            </w:r>
          </w:p>
        </w:tc>
        <w:tc>
          <w:tcPr/>
          <w:p>
            <w:pPr>
              <w:pStyle w:val="Compact"/>
              <w:jc w:val="left"/>
            </w:pPr>
            <w:r>
              <w:t xml:space="preserve">19</w:t>
            </w:r>
          </w:p>
        </w:tc>
        <w:tc>
          <w:tcPr/>
          <w:p>
            <w:pPr>
              <w:pStyle w:val="Compact"/>
              <w:jc w:val="left"/>
            </w:pPr>
            <w:r>
              <w:t xml:space="preserve">2</w:t>
            </w:r>
          </w:p>
        </w:tc>
        <w:tc>
          <w:tcPr/>
          <w:p>
            <w:pPr>
              <w:pStyle w:val="Compact"/>
              <w:jc w:val="left"/>
            </w:pPr>
            <w:r>
              <w:t xml:space="preserve">1</w:t>
            </w:r>
          </w:p>
        </w:tc>
        <w:tc>
          <w:tcPr/>
          <w:p>
            <w:pPr>
              <w:pStyle w:val="Compact"/>
              <w:jc w:val="left"/>
            </w:pPr>
            <w:r>
              <w:t xml:space="preserve">22</w:t>
            </w:r>
          </w:p>
        </w:tc>
      </w:tr>
      <w:tr>
        <w:tc>
          <w:tcPr/>
          <w:p>
            <w:pPr>
              <w:pStyle w:val="Compact"/>
              <w:jc w:val="left"/>
            </w:pPr>
            <w:r>
              <w:t xml:space="preserve">Private Vessel</w:t>
            </w:r>
          </w:p>
        </w:tc>
        <w:tc>
          <w:tcPr/>
          <w:p>
            <w:pPr>
              <w:pStyle w:val="Compact"/>
              <w:jc w:val="left"/>
            </w:pPr>
            <w:r>
              <w:t xml:space="preserve">43</w:t>
            </w:r>
          </w:p>
        </w:tc>
        <w:tc>
          <w:tcPr/>
          <w:p>
            <w:pPr>
              <w:pStyle w:val="Compact"/>
              <w:jc w:val="left"/>
            </w:pPr>
            <w:r>
              <w:t xml:space="preserve">6</w:t>
            </w:r>
          </w:p>
        </w:tc>
        <w:tc>
          <w:tcPr/>
          <w:p>
            <w:pPr>
              <w:pStyle w:val="Compact"/>
              <w:jc w:val="left"/>
            </w:pPr>
            <w:r>
              <w:t xml:space="preserve">3</w:t>
            </w:r>
          </w:p>
        </w:tc>
        <w:tc>
          <w:tcPr/>
          <w:p>
            <w:pPr>
              <w:pStyle w:val="Compact"/>
              <w:jc w:val="left"/>
            </w:pPr>
            <w:r>
              <w:t xml:space="preserve">52</w:t>
            </w:r>
          </w:p>
        </w:tc>
      </w:tr>
      <w:tr>
        <w:tc>
          <w:tcPr/>
          <w:p>
            <w:pPr>
              <w:pStyle w:val="Compact"/>
              <w:jc w:val="left"/>
            </w:pPr>
            <w:r>
              <w:t xml:space="preserve">All Mar. Rec. Fishing</w:t>
            </w:r>
          </w:p>
        </w:tc>
        <w:tc>
          <w:tcPr/>
          <w:p>
            <w:pPr>
              <w:pStyle w:val="Compact"/>
              <w:jc w:val="left"/>
            </w:pPr>
            <w:r>
              <w:t xml:space="preserve">125</w:t>
            </w:r>
          </w:p>
        </w:tc>
        <w:tc>
          <w:tcPr/>
          <w:p>
            <w:pPr>
              <w:pStyle w:val="Compact"/>
              <w:jc w:val="left"/>
            </w:pPr>
            <w:r>
              <w:t xml:space="preserve">17</w:t>
            </w:r>
          </w:p>
        </w:tc>
        <w:tc>
          <w:tcPr/>
          <w:p>
            <w:pPr>
              <w:pStyle w:val="Compact"/>
              <w:jc w:val="left"/>
            </w:pPr>
            <w:r>
              <w:t xml:space="preserve">8</w:t>
            </w:r>
          </w:p>
        </w:tc>
        <w:tc>
          <w:tcPr/>
          <w:p>
            <w:pPr>
              <w:pStyle w:val="Compact"/>
              <w:jc w:val="left"/>
            </w:pPr>
            <w:r>
              <w:t xml:space="preserve">150</w:t>
            </w:r>
          </w:p>
        </w:tc>
      </w:tr>
    </w:tbl>
    <w:bookmarkEnd w:id="24"/>
    <w:bookmarkStart w:id="25" w:name="summary"/>
    <w:p>
      <w:pPr>
        <w:pStyle w:val="Heading3"/>
      </w:pPr>
      <w:r>
        <w:t xml:space="preserve">Summary</w:t>
      </w:r>
    </w:p>
    <w:p>
      <w:pPr>
        <w:pStyle w:val="FirstParagraph"/>
      </w:pPr>
      <w:r>
        <w:t xml:space="preserve">This summary shows that marine recreational fishing in Gulf County contributed $15.49M and 150 jobs to the Gulf County economy in 2024. Again, it is critical to understand that this is not economic value, but nonetheless should be helpful for understanding the economic importance of marine recreational fishing to Gulf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rbodre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74BA31-3F6F-425A-93DA-87CA625C2397}"/>
</file>

<file path=customXml/itemProps2.xml><?xml version="1.0" encoding="utf-8"?>
<ds:datastoreItem xmlns:ds="http://schemas.openxmlformats.org/officeDocument/2006/customXml" ds:itemID="{4711479B-EA5E-4675-BEDD-331508C8F977}"/>
</file>

<file path=customXml/itemProps3.xml><?xml version="1.0" encoding="utf-8"?>
<ds:datastoreItem xmlns:ds="http://schemas.openxmlformats.org/officeDocument/2006/customXml" ds:itemID="{D0E54265-B5F3-4235-A501-D79449AFD46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Gulf County</dc:title>
  <dc:creator>Prepared for the Gulf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Ray Bodrey, Florida Sea Grant Extension Agent Gulf County. rbodrey@ufl.edu</dc:creator>
  <cp:keywords/>
  <dcterms:created xsi:type="dcterms:W3CDTF">2025-03-19T19:28:41Z</dcterms:created>
  <dcterms:modified xsi:type="dcterms:W3CDTF">2025-03-19T19:28:41Z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