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Hernando County</w:t>
      </w:r>
    </w:p>
    <w:p>
      <w:pPr>
        <w:pStyle w:val="Author"/>
      </w:pPr>
      <w:r>
        <w:t xml:space="preserve">Prepared for the Hernando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Brittany Hall-Scharf, Florida Sea Grant Extension Agent Hernando County.</w:t>
      </w:r>
      <w:r>
        <w:t xml:space="preserve"> </w:t>
      </w:r>
      <w:hyperlink r:id="rId21">
        <w:r>
          <w:rPr>
            <w:rStyle w:val="Hyperlink"/>
          </w:rPr>
          <w:t xml:space="preserve">bhallscharf@ufl.edu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Hernando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Hernando County as of 2024. It does not describe its economic value. Still, this summary may help inform discussions and decision making related to policy, management, or environmental changes in or around Hernando County that might impact recreational fishing activity, or when discussing similar changes that occur at a regional or state-wide scale but might affect Hernando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Hernando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Hernando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Hernando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Hernando County is given in the bottom right cell.</w:t>
      </w:r>
    </w:p>
    <w:p>
      <w:pPr>
        <w:pStyle w:val="TableCaption"/>
      </w:pPr>
      <w:r>
        <w:t xml:space="preserve">Hernando Marine Rec. Fishing Contribution, Industry Output</w:t>
      </w:r>
    </w:p>
    <w:tbl>
      <w:tblPr>
        <w:tblStyle w:val="Table"/>
        <w:tblW w:type="auto" w:w="0"/>
        <w:tblLook w:firstRow="1" w:lastRow="0" w:firstColumn="0" w:lastColumn="0" w:noHBand="0" w:noVBand="0" w:val="0020"/>
        <w:tblCaption w:val="Hernando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9.58</w:t>
            </w:r>
          </w:p>
        </w:tc>
        <w:tc>
          <w:tcPr/>
          <w:p>
            <w:pPr>
              <w:pStyle w:val="Compact"/>
              <w:jc w:val="left"/>
            </w:pPr>
            <w:r>
              <w:t xml:space="preserve">2.34</w:t>
            </w:r>
          </w:p>
        </w:tc>
        <w:tc>
          <w:tcPr/>
          <w:p>
            <w:pPr>
              <w:pStyle w:val="Compact"/>
              <w:jc w:val="left"/>
            </w:pPr>
            <w:r>
              <w:t xml:space="preserve">1.48</w:t>
            </w:r>
          </w:p>
        </w:tc>
        <w:tc>
          <w:tcPr/>
          <w:p>
            <w:pPr>
              <w:pStyle w:val="Compact"/>
              <w:jc w:val="left"/>
            </w:pPr>
            <w:r>
              <w:t xml:space="preserve">13.41</w:t>
            </w:r>
          </w:p>
        </w:tc>
      </w:tr>
      <w:tr>
        <w:tc>
          <w:tcPr/>
          <w:p>
            <w:pPr>
              <w:pStyle w:val="Compact"/>
              <w:jc w:val="left"/>
            </w:pPr>
            <w:r>
              <w:t xml:space="preserve">For-hire</w:t>
            </w:r>
          </w:p>
        </w:tc>
        <w:tc>
          <w:tcPr/>
          <w:p>
            <w:pPr>
              <w:pStyle w:val="Compact"/>
              <w:jc w:val="left"/>
            </w:pPr>
            <w:r>
              <w:t xml:space="preserve">0.06</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0.09</w:t>
            </w:r>
          </w:p>
        </w:tc>
      </w:tr>
      <w:tr>
        <w:tc>
          <w:tcPr/>
          <w:p>
            <w:pPr>
              <w:pStyle w:val="Compact"/>
              <w:jc w:val="left"/>
            </w:pPr>
            <w:r>
              <w:t xml:space="preserve">Private Vessel</w:t>
            </w:r>
          </w:p>
        </w:tc>
        <w:tc>
          <w:tcPr/>
          <w:p>
            <w:pPr>
              <w:pStyle w:val="Compact"/>
              <w:jc w:val="left"/>
            </w:pPr>
            <w:r>
              <w:t xml:space="preserve">4.66</w:t>
            </w:r>
          </w:p>
        </w:tc>
        <w:tc>
          <w:tcPr/>
          <w:p>
            <w:pPr>
              <w:pStyle w:val="Compact"/>
              <w:jc w:val="left"/>
            </w:pPr>
            <w:r>
              <w:t xml:space="preserve">1.15</w:t>
            </w:r>
          </w:p>
        </w:tc>
        <w:tc>
          <w:tcPr/>
          <w:p>
            <w:pPr>
              <w:pStyle w:val="Compact"/>
              <w:jc w:val="left"/>
            </w:pPr>
            <w:r>
              <w:t xml:space="preserve">0.82</w:t>
            </w:r>
          </w:p>
        </w:tc>
        <w:tc>
          <w:tcPr/>
          <w:p>
            <w:pPr>
              <w:pStyle w:val="Compact"/>
              <w:jc w:val="left"/>
            </w:pPr>
            <w:r>
              <w:t xml:space="preserve">6.63</w:t>
            </w:r>
          </w:p>
        </w:tc>
      </w:tr>
      <w:tr>
        <w:tc>
          <w:tcPr/>
          <w:p>
            <w:pPr>
              <w:pStyle w:val="Compact"/>
              <w:jc w:val="left"/>
            </w:pPr>
            <w:r>
              <w:t xml:space="preserve">All Mar. Rec. Fishing</w:t>
            </w:r>
          </w:p>
        </w:tc>
        <w:tc>
          <w:tcPr/>
          <w:p>
            <w:pPr>
              <w:pStyle w:val="Compact"/>
              <w:jc w:val="left"/>
            </w:pPr>
            <w:r>
              <w:t xml:space="preserve">14.3</w:t>
            </w:r>
          </w:p>
        </w:tc>
        <w:tc>
          <w:tcPr/>
          <w:p>
            <w:pPr>
              <w:pStyle w:val="Compact"/>
              <w:jc w:val="left"/>
            </w:pPr>
            <w:r>
              <w:t xml:space="preserve">3.5</w:t>
            </w:r>
          </w:p>
        </w:tc>
        <w:tc>
          <w:tcPr/>
          <w:p>
            <w:pPr>
              <w:pStyle w:val="Compact"/>
              <w:jc w:val="left"/>
            </w:pPr>
            <w:r>
              <w:t xml:space="preserve">2.32</w:t>
            </w:r>
          </w:p>
        </w:tc>
        <w:tc>
          <w:tcPr/>
          <w:p>
            <w:pPr>
              <w:pStyle w:val="Compact"/>
              <w:jc w:val="left"/>
            </w:pPr>
            <w:r>
              <w:t xml:space="preserve">20.13</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Hernando County is given in the bottom right cell.</w:t>
      </w:r>
    </w:p>
    <w:p>
      <w:pPr>
        <w:pStyle w:val="TableCaption"/>
      </w:pPr>
      <w:r>
        <w:t xml:space="preserve">Hernando Marine Rec. Fishing Contribution, Employment</w:t>
      </w:r>
    </w:p>
    <w:tbl>
      <w:tblPr>
        <w:tblStyle w:val="Table"/>
        <w:tblW w:type="auto" w:w="0"/>
        <w:tblLook w:firstRow="1" w:lastRow="0" w:firstColumn="0" w:lastColumn="0" w:noHBand="0" w:noVBand="0" w:val="0020"/>
        <w:tblCaption w:val="Hernando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108</w:t>
            </w:r>
          </w:p>
        </w:tc>
        <w:tc>
          <w:tcPr/>
          <w:p>
            <w:pPr>
              <w:pStyle w:val="Compact"/>
              <w:jc w:val="left"/>
            </w:pPr>
            <w:r>
              <w:t xml:space="preserve">17</w:t>
            </w:r>
          </w:p>
        </w:tc>
        <w:tc>
          <w:tcPr/>
          <w:p>
            <w:pPr>
              <w:pStyle w:val="Compact"/>
              <w:jc w:val="left"/>
            </w:pPr>
            <w:r>
              <w:t xml:space="preserve">9</w:t>
            </w:r>
          </w:p>
        </w:tc>
        <w:tc>
          <w:tcPr/>
          <w:p>
            <w:pPr>
              <w:pStyle w:val="Compact"/>
              <w:jc w:val="left"/>
            </w:pPr>
            <w:r>
              <w:t xml:space="preserve">135</w:t>
            </w:r>
          </w:p>
        </w:tc>
      </w:tr>
      <w:tr>
        <w:tc>
          <w:tcPr/>
          <w:p>
            <w:pPr>
              <w:pStyle w:val="Compact"/>
              <w:jc w:val="left"/>
            </w:pPr>
            <w:r>
              <w:t xml:space="preserve">For-hire</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Private Vessel</w:t>
            </w:r>
          </w:p>
        </w:tc>
        <w:tc>
          <w:tcPr/>
          <w:p>
            <w:pPr>
              <w:pStyle w:val="Compact"/>
              <w:jc w:val="left"/>
            </w:pPr>
            <w:r>
              <w:t xml:space="preserve">45</w:t>
            </w:r>
          </w:p>
        </w:tc>
        <w:tc>
          <w:tcPr/>
          <w:p>
            <w:pPr>
              <w:pStyle w:val="Compact"/>
              <w:jc w:val="left"/>
            </w:pPr>
            <w:r>
              <w:t xml:space="preserve">9</w:t>
            </w:r>
          </w:p>
        </w:tc>
        <w:tc>
          <w:tcPr/>
          <w:p>
            <w:pPr>
              <w:pStyle w:val="Compact"/>
              <w:jc w:val="left"/>
            </w:pPr>
            <w:r>
              <w:t xml:space="preserve">5</w:t>
            </w:r>
          </w:p>
        </w:tc>
        <w:tc>
          <w:tcPr/>
          <w:p>
            <w:pPr>
              <w:pStyle w:val="Compact"/>
              <w:jc w:val="left"/>
            </w:pPr>
            <w:r>
              <w:t xml:space="preserve">59</w:t>
            </w:r>
          </w:p>
        </w:tc>
      </w:tr>
      <w:tr>
        <w:tc>
          <w:tcPr/>
          <w:p>
            <w:pPr>
              <w:pStyle w:val="Compact"/>
              <w:jc w:val="left"/>
            </w:pPr>
            <w:r>
              <w:t xml:space="preserve">All Mar. Rec. Fishing</w:t>
            </w:r>
          </w:p>
        </w:tc>
        <w:tc>
          <w:tcPr/>
          <w:p>
            <w:pPr>
              <w:pStyle w:val="Compact"/>
              <w:jc w:val="left"/>
            </w:pPr>
            <w:r>
              <w:t xml:space="preserve">154</w:t>
            </w:r>
          </w:p>
        </w:tc>
        <w:tc>
          <w:tcPr/>
          <w:p>
            <w:pPr>
              <w:pStyle w:val="Compact"/>
              <w:jc w:val="left"/>
            </w:pPr>
            <w:r>
              <w:t xml:space="preserve">26</w:t>
            </w:r>
          </w:p>
        </w:tc>
        <w:tc>
          <w:tcPr/>
          <w:p>
            <w:pPr>
              <w:pStyle w:val="Compact"/>
              <w:jc w:val="left"/>
            </w:pPr>
            <w:r>
              <w:t xml:space="preserve">14</w:t>
            </w:r>
          </w:p>
        </w:tc>
        <w:tc>
          <w:tcPr/>
          <w:p>
            <w:pPr>
              <w:pStyle w:val="Compact"/>
              <w:jc w:val="left"/>
            </w:pPr>
            <w:r>
              <w:t xml:space="preserve">195</w:t>
            </w:r>
          </w:p>
        </w:tc>
      </w:tr>
    </w:tbl>
    <w:bookmarkEnd w:id="24"/>
    <w:bookmarkStart w:id="25" w:name="summary"/>
    <w:p>
      <w:pPr>
        <w:pStyle w:val="Heading3"/>
      </w:pPr>
      <w:r>
        <w:t xml:space="preserve">Summary</w:t>
      </w:r>
    </w:p>
    <w:p>
      <w:pPr>
        <w:pStyle w:val="FirstParagraph"/>
      </w:pPr>
      <w:r>
        <w:t xml:space="preserve">This summary shows that marine recreational fishing in Hernando County contributed $20.13M and 195 jobs to the Hernando County economy in 2024. Again, it is critical to understand that this is not economic value, but nonetheless should be helpful for understanding the economic importance of marine recreational fishing to Hernando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bhallscharf@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bhallscharf@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01DD46-E68E-4952-AD45-55942B7933C4}"/>
</file>

<file path=customXml/itemProps2.xml><?xml version="1.0" encoding="utf-8"?>
<ds:datastoreItem xmlns:ds="http://schemas.openxmlformats.org/officeDocument/2006/customXml" ds:itemID="{6A77EDDD-9DED-4668-A7E4-9512C8F23514}"/>
</file>

<file path=customXml/itemProps3.xml><?xml version="1.0" encoding="utf-8"?>
<ds:datastoreItem xmlns:ds="http://schemas.openxmlformats.org/officeDocument/2006/customXml" ds:itemID="{75FC77EC-F6BB-4603-812B-9F027BAE760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Hernando County</dc:title>
  <dc:creator>Prepared for the Hernando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Brittany Hall-Scharf, Florida Sea Grant Extension Agent Hernando County. bhallscharf@ufl.edu</dc:creator>
  <cp:keywords/>
  <dcterms:created xsi:type="dcterms:W3CDTF">2025-03-19T19:28:55Z</dcterms:created>
  <dcterms:modified xsi:type="dcterms:W3CDTF">2025-03-19T19:28:55Z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