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Indian River County</w:t>
      </w:r>
    </w:p>
    <w:p>
      <w:pPr>
        <w:pStyle w:val="Author"/>
      </w:pPr>
      <w:r>
        <w:t xml:space="preserve">Prepared for the Indian River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Lisa Krimsky, Regional Specialized Extension Agent Southeast Florida.</w:t>
      </w:r>
      <w:r>
        <w:t xml:space="preserve"> </w:t>
      </w:r>
      <w:hyperlink r:id="rId21">
        <w:r>
          <w:rPr>
            <w:rStyle w:val="Hyperlink"/>
          </w:rPr>
          <w:t xml:space="preserve">lkrimsky@ufl.edu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Indian River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Indian River County as of 2024. It does not describe its economic value. Still, this summary may help inform discussions and decision making related to policy, management, or environmental changes in or around Indian River County that might impact recreational fishing activity, or when discussing similar changes that occur at a regional or state-wide scale but might affect Indian River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Indian River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Indian River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Indian River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Indian River County is given in the bottom right cell.</w:t>
      </w:r>
    </w:p>
    <w:p>
      <w:pPr>
        <w:pStyle w:val="TableCaption"/>
      </w:pPr>
      <w:r>
        <w:t xml:space="preserve">Indian River Marine Rec. Fishing Contribution, Industry Output</w:t>
      </w:r>
    </w:p>
    <w:tbl>
      <w:tblPr>
        <w:tblStyle w:val="Table"/>
        <w:tblW w:type="auto" w:w="0"/>
        <w:tblLook w:firstRow="1" w:lastRow="0" w:firstColumn="0" w:lastColumn="0" w:noHBand="0" w:noVBand="0" w:val="0020"/>
        <w:tblCaption w:val="Indian River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25.81</w:t>
            </w:r>
          </w:p>
        </w:tc>
        <w:tc>
          <w:tcPr/>
          <w:p>
            <w:pPr>
              <w:pStyle w:val="Compact"/>
              <w:jc w:val="left"/>
            </w:pPr>
            <w:r>
              <w:t xml:space="preserve">6.91</w:t>
            </w:r>
          </w:p>
        </w:tc>
        <w:tc>
          <w:tcPr/>
          <w:p>
            <w:pPr>
              <w:pStyle w:val="Compact"/>
              <w:jc w:val="left"/>
            </w:pPr>
            <w:r>
              <w:t xml:space="preserve">4.21</w:t>
            </w:r>
          </w:p>
        </w:tc>
        <w:tc>
          <w:tcPr/>
          <w:p>
            <w:pPr>
              <w:pStyle w:val="Compact"/>
              <w:jc w:val="left"/>
            </w:pPr>
            <w:r>
              <w:t xml:space="preserve">36.93</w:t>
            </w:r>
          </w:p>
        </w:tc>
      </w:tr>
      <w:tr>
        <w:tc>
          <w:tcPr/>
          <w:p>
            <w:pPr>
              <w:pStyle w:val="Compact"/>
              <w:jc w:val="left"/>
            </w:pPr>
            <w:r>
              <w:t xml:space="preserve">For-hire</w:t>
            </w:r>
          </w:p>
        </w:tc>
        <w:tc>
          <w:tcPr/>
          <w:p>
            <w:pPr>
              <w:pStyle w:val="Compact"/>
              <w:jc w:val="left"/>
            </w:pPr>
            <w:r>
              <w:t xml:space="preserve">0.75</w:t>
            </w:r>
          </w:p>
        </w:tc>
        <w:tc>
          <w:tcPr/>
          <w:p>
            <w:pPr>
              <w:pStyle w:val="Compact"/>
              <w:jc w:val="left"/>
            </w:pPr>
            <w:r>
              <w:t xml:space="preserve">0.13</w:t>
            </w:r>
          </w:p>
        </w:tc>
        <w:tc>
          <w:tcPr/>
          <w:p>
            <w:pPr>
              <w:pStyle w:val="Compact"/>
              <w:jc w:val="left"/>
            </w:pPr>
            <w:r>
              <w:t xml:space="preserve">0.24</w:t>
            </w:r>
          </w:p>
        </w:tc>
        <w:tc>
          <w:tcPr/>
          <w:p>
            <w:pPr>
              <w:pStyle w:val="Compact"/>
              <w:jc w:val="left"/>
            </w:pPr>
            <w:r>
              <w:t xml:space="preserve">1.12</w:t>
            </w:r>
          </w:p>
        </w:tc>
      </w:tr>
      <w:tr>
        <w:tc>
          <w:tcPr/>
          <w:p>
            <w:pPr>
              <w:pStyle w:val="Compact"/>
              <w:jc w:val="left"/>
            </w:pPr>
            <w:r>
              <w:t xml:space="preserve">Private Vessel</w:t>
            </w:r>
          </w:p>
        </w:tc>
        <w:tc>
          <w:tcPr/>
          <w:p>
            <w:pPr>
              <w:pStyle w:val="Compact"/>
              <w:jc w:val="left"/>
            </w:pPr>
            <w:r>
              <w:t xml:space="preserve">20.32</w:t>
            </w:r>
          </w:p>
        </w:tc>
        <w:tc>
          <w:tcPr/>
          <w:p>
            <w:pPr>
              <w:pStyle w:val="Compact"/>
              <w:jc w:val="left"/>
            </w:pPr>
            <w:r>
              <w:t xml:space="preserve">5.35</w:t>
            </w:r>
          </w:p>
        </w:tc>
        <w:tc>
          <w:tcPr/>
          <w:p>
            <w:pPr>
              <w:pStyle w:val="Compact"/>
              <w:jc w:val="left"/>
            </w:pPr>
            <w:r>
              <w:t xml:space="preserve">3.85</w:t>
            </w:r>
          </w:p>
        </w:tc>
        <w:tc>
          <w:tcPr/>
          <w:p>
            <w:pPr>
              <w:pStyle w:val="Compact"/>
              <w:jc w:val="left"/>
            </w:pPr>
            <w:r>
              <w:t xml:space="preserve">29.52</w:t>
            </w:r>
          </w:p>
        </w:tc>
      </w:tr>
      <w:tr>
        <w:tc>
          <w:tcPr/>
          <w:p>
            <w:pPr>
              <w:pStyle w:val="Compact"/>
              <w:jc w:val="left"/>
            </w:pPr>
            <w:r>
              <w:t xml:space="preserve">All Mar. Rec. Fishing</w:t>
            </w:r>
          </w:p>
        </w:tc>
        <w:tc>
          <w:tcPr/>
          <w:p>
            <w:pPr>
              <w:pStyle w:val="Compact"/>
              <w:jc w:val="left"/>
            </w:pPr>
            <w:r>
              <w:t xml:space="preserve">46.88</w:t>
            </w:r>
          </w:p>
        </w:tc>
        <w:tc>
          <w:tcPr/>
          <w:p>
            <w:pPr>
              <w:pStyle w:val="Compact"/>
              <w:jc w:val="left"/>
            </w:pPr>
            <w:r>
              <w:t xml:space="preserve">12.39</w:t>
            </w:r>
          </w:p>
        </w:tc>
        <w:tc>
          <w:tcPr/>
          <w:p>
            <w:pPr>
              <w:pStyle w:val="Compact"/>
              <w:jc w:val="left"/>
            </w:pPr>
            <w:r>
              <w:t xml:space="preserve">8.3</w:t>
            </w:r>
          </w:p>
        </w:tc>
        <w:tc>
          <w:tcPr/>
          <w:p>
            <w:pPr>
              <w:pStyle w:val="Compact"/>
              <w:jc w:val="left"/>
            </w:pPr>
            <w:r>
              <w:t xml:space="preserve">67.57</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Indian River County is given in the bottom right cell.</w:t>
      </w:r>
    </w:p>
    <w:p>
      <w:pPr>
        <w:pStyle w:val="TableCaption"/>
      </w:pPr>
      <w:r>
        <w:t xml:space="preserve">Indian River Marine Rec. Fishing Contribution, Employment</w:t>
      </w:r>
    </w:p>
    <w:tbl>
      <w:tblPr>
        <w:tblStyle w:val="Table"/>
        <w:tblW w:type="auto" w:w="0"/>
        <w:tblLook w:firstRow="1" w:lastRow="0" w:firstColumn="0" w:lastColumn="0" w:noHBand="0" w:noVBand="0" w:val="0020"/>
        <w:tblCaption w:val="Indian River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270</w:t>
            </w:r>
          </w:p>
        </w:tc>
        <w:tc>
          <w:tcPr/>
          <w:p>
            <w:pPr>
              <w:pStyle w:val="Compact"/>
              <w:jc w:val="left"/>
            </w:pPr>
            <w:r>
              <w:t xml:space="preserve">44</w:t>
            </w:r>
          </w:p>
        </w:tc>
        <w:tc>
          <w:tcPr/>
          <w:p>
            <w:pPr>
              <w:pStyle w:val="Compact"/>
              <w:jc w:val="left"/>
            </w:pPr>
            <w:r>
              <w:t xml:space="preserve">26</w:t>
            </w:r>
          </w:p>
        </w:tc>
        <w:tc>
          <w:tcPr/>
          <w:p>
            <w:pPr>
              <w:pStyle w:val="Compact"/>
              <w:jc w:val="left"/>
            </w:pPr>
            <w:r>
              <w:t xml:space="preserve">340</w:t>
            </w:r>
          </w:p>
        </w:tc>
      </w:tr>
      <w:tr>
        <w:tc>
          <w:tcPr/>
          <w:p>
            <w:pPr>
              <w:pStyle w:val="Compact"/>
              <w:jc w:val="left"/>
            </w:pPr>
            <w:r>
              <w:t xml:space="preserve">For-hire</w:t>
            </w:r>
          </w:p>
        </w:tc>
        <w:tc>
          <w:tcPr/>
          <w:p>
            <w:pPr>
              <w:pStyle w:val="Compact"/>
              <w:jc w:val="left"/>
            </w:pPr>
            <w:r>
              <w:t xml:space="preserve">7</w:t>
            </w:r>
          </w:p>
        </w:tc>
        <w:tc>
          <w:tcPr/>
          <w:p>
            <w:pPr>
              <w:pStyle w:val="Compact"/>
              <w:jc w:val="left"/>
            </w:pPr>
            <w:r>
              <w:t xml:space="preserve">1</w:t>
            </w:r>
          </w:p>
        </w:tc>
        <w:tc>
          <w:tcPr/>
          <w:p>
            <w:pPr>
              <w:pStyle w:val="Compact"/>
              <w:jc w:val="left"/>
            </w:pPr>
            <w:r>
              <w:t xml:space="preserve">1</w:t>
            </w:r>
          </w:p>
        </w:tc>
        <w:tc>
          <w:tcPr/>
          <w:p>
            <w:pPr>
              <w:pStyle w:val="Compact"/>
              <w:jc w:val="left"/>
            </w:pPr>
            <w:r>
              <w:t xml:space="preserve">9</w:t>
            </w:r>
          </w:p>
        </w:tc>
      </w:tr>
      <w:tr>
        <w:tc>
          <w:tcPr/>
          <w:p>
            <w:pPr>
              <w:pStyle w:val="Compact"/>
              <w:jc w:val="left"/>
            </w:pPr>
            <w:r>
              <w:t xml:space="preserve">Private Vessel</w:t>
            </w:r>
          </w:p>
        </w:tc>
        <w:tc>
          <w:tcPr/>
          <w:p>
            <w:pPr>
              <w:pStyle w:val="Compact"/>
              <w:jc w:val="left"/>
            </w:pPr>
            <w:r>
              <w:t xml:space="preserve">173</w:t>
            </w:r>
          </w:p>
        </w:tc>
        <w:tc>
          <w:tcPr/>
          <w:p>
            <w:pPr>
              <w:pStyle w:val="Compact"/>
              <w:jc w:val="left"/>
            </w:pPr>
            <w:r>
              <w:t xml:space="preserve">35</w:t>
            </w:r>
          </w:p>
        </w:tc>
        <w:tc>
          <w:tcPr/>
          <w:p>
            <w:pPr>
              <w:pStyle w:val="Compact"/>
              <w:jc w:val="left"/>
            </w:pPr>
            <w:r>
              <w:t xml:space="preserve">24</w:t>
            </w:r>
          </w:p>
        </w:tc>
        <w:tc>
          <w:tcPr/>
          <w:p>
            <w:pPr>
              <w:pStyle w:val="Compact"/>
              <w:jc w:val="left"/>
            </w:pPr>
            <w:r>
              <w:t xml:space="preserve">232</w:t>
            </w:r>
          </w:p>
        </w:tc>
      </w:tr>
      <w:tr>
        <w:tc>
          <w:tcPr/>
          <w:p>
            <w:pPr>
              <w:pStyle w:val="Compact"/>
              <w:jc w:val="left"/>
            </w:pPr>
            <w:r>
              <w:t xml:space="preserve">All Mar. Rec. Fishing</w:t>
            </w:r>
          </w:p>
        </w:tc>
        <w:tc>
          <w:tcPr/>
          <w:p>
            <w:pPr>
              <w:pStyle w:val="Compact"/>
              <w:jc w:val="left"/>
            </w:pPr>
            <w:r>
              <w:t xml:space="preserve">450</w:t>
            </w:r>
          </w:p>
        </w:tc>
        <w:tc>
          <w:tcPr/>
          <w:p>
            <w:pPr>
              <w:pStyle w:val="Compact"/>
              <w:jc w:val="left"/>
            </w:pPr>
            <w:r>
              <w:t xml:space="preserve">80</w:t>
            </w:r>
          </w:p>
        </w:tc>
        <w:tc>
          <w:tcPr/>
          <w:p>
            <w:pPr>
              <w:pStyle w:val="Compact"/>
              <w:jc w:val="left"/>
            </w:pPr>
            <w:r>
              <w:t xml:space="preserve">51</w:t>
            </w:r>
          </w:p>
        </w:tc>
        <w:tc>
          <w:tcPr/>
          <w:p>
            <w:pPr>
              <w:pStyle w:val="Compact"/>
              <w:jc w:val="left"/>
            </w:pPr>
            <w:r>
              <w:t xml:space="preserve">581</w:t>
            </w:r>
          </w:p>
        </w:tc>
      </w:tr>
    </w:tbl>
    <w:bookmarkEnd w:id="24"/>
    <w:bookmarkStart w:id="25" w:name="summary"/>
    <w:p>
      <w:pPr>
        <w:pStyle w:val="Heading3"/>
      </w:pPr>
      <w:r>
        <w:t xml:space="preserve">Summary</w:t>
      </w:r>
    </w:p>
    <w:p>
      <w:pPr>
        <w:pStyle w:val="FirstParagraph"/>
      </w:pPr>
      <w:r>
        <w:t xml:space="preserve">This summary shows that marine recreational fishing in Indian River County contributed $67.57M and 581 jobs to the Indian River County economy in 2024. Again, it is critical to understand that this is not economic value, but nonetheless should be helpful for understanding the economic importance of marine recreational fishing to Indian River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lkrimsk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lkrimsk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26FED7-6E7A-463C-99BC-C0C24956F6F1}"/>
</file>

<file path=customXml/itemProps2.xml><?xml version="1.0" encoding="utf-8"?>
<ds:datastoreItem xmlns:ds="http://schemas.openxmlformats.org/officeDocument/2006/customXml" ds:itemID="{20C697F3-902C-4761-AA5E-F9776E04C9D6}"/>
</file>

<file path=customXml/itemProps3.xml><?xml version="1.0" encoding="utf-8"?>
<ds:datastoreItem xmlns:ds="http://schemas.openxmlformats.org/officeDocument/2006/customXml" ds:itemID="{C816F0FE-F1FA-4C02-88AC-98F5EC72D5B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Indian River County</dc:title>
  <dc:creator>Prepared for the Indian River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Lisa Krimsky, Regional Specialized Extension Agent Southeast Florida. lkrimsky@ufl.edu</dc:creator>
  <cp:keywords/>
  <dcterms:created xsi:type="dcterms:W3CDTF">2025-03-19T19:28:59Z</dcterms:created>
  <dcterms:modified xsi:type="dcterms:W3CDTF">2025-03-19T19:28:59Z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