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Manatee County</w:t>
      </w:r>
    </w:p>
    <w:p>
      <w:pPr>
        <w:pStyle w:val="Author"/>
      </w:pPr>
      <w:r>
        <w:t xml:space="preserve">Prepared for the Manatee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Angela Collins, IFAS Assistant Extension Scientist.</w:t>
      </w:r>
      <w:r>
        <w:t xml:space="preserve"> </w:t>
      </w:r>
      <w:hyperlink r:id="rId21">
        <w:r>
          <w:rPr>
            <w:rStyle w:val="Hyperlink"/>
          </w:rPr>
          <w:t xml:space="preserve">abcollins@ufl.edu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Manatee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Manatee County as of 2024. It does not describe its economic value. Still, this summary may help inform discussions and decision making related to policy, management, or environmental changes in or around Manatee County that might impact recreational fishing activity, or when discussing similar changes that occur at a regional or state-wide scale but might affect Manatee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Manatee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Manatee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Manatee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Manatee County is given in the bottom right cell.</w:t>
      </w:r>
    </w:p>
    <w:p>
      <w:pPr>
        <w:pStyle w:val="TableCaption"/>
      </w:pPr>
      <w:r>
        <w:t xml:space="preserve">Manatee Marine Rec. Fishing Contribution, Industry Output</w:t>
      </w:r>
    </w:p>
    <w:tbl>
      <w:tblPr>
        <w:tblStyle w:val="Table"/>
        <w:tblW w:type="auto" w:w="0"/>
        <w:tblLook w:firstRow="1" w:lastRow="0" w:firstColumn="0" w:lastColumn="0" w:noHBand="0" w:noVBand="0" w:val="0020"/>
        <w:tblCaption w:val="Manatee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147.4</w:t>
            </w:r>
          </w:p>
        </w:tc>
        <w:tc>
          <w:tcPr/>
          <w:p>
            <w:pPr>
              <w:pStyle w:val="Compact"/>
              <w:jc w:val="left"/>
            </w:pPr>
            <w:r>
              <w:t xml:space="preserve">40.15</w:t>
            </w:r>
          </w:p>
        </w:tc>
        <w:tc>
          <w:tcPr/>
          <w:p>
            <w:pPr>
              <w:pStyle w:val="Compact"/>
              <w:jc w:val="left"/>
            </w:pPr>
            <w:r>
              <w:t xml:space="preserve">30.83</w:t>
            </w:r>
          </w:p>
        </w:tc>
        <w:tc>
          <w:tcPr/>
          <w:p>
            <w:pPr>
              <w:pStyle w:val="Compact"/>
              <w:jc w:val="left"/>
            </w:pPr>
            <w:r>
              <w:t xml:space="preserve">218.38</w:t>
            </w:r>
          </w:p>
        </w:tc>
      </w:tr>
      <w:tr>
        <w:tc>
          <w:tcPr/>
          <w:p>
            <w:pPr>
              <w:pStyle w:val="Compact"/>
              <w:jc w:val="left"/>
            </w:pPr>
            <w:r>
              <w:t xml:space="preserve">For-hire</w:t>
            </w:r>
          </w:p>
        </w:tc>
        <w:tc>
          <w:tcPr/>
          <w:p>
            <w:pPr>
              <w:pStyle w:val="Compact"/>
              <w:jc w:val="left"/>
            </w:pPr>
            <w:r>
              <w:t xml:space="preserve">10.97</w:t>
            </w:r>
          </w:p>
        </w:tc>
        <w:tc>
          <w:tcPr/>
          <w:p>
            <w:pPr>
              <w:pStyle w:val="Compact"/>
              <w:jc w:val="left"/>
            </w:pPr>
            <w:r>
              <w:t xml:space="preserve">2.78</w:t>
            </w:r>
          </w:p>
        </w:tc>
        <w:tc>
          <w:tcPr/>
          <w:p>
            <w:pPr>
              <w:pStyle w:val="Compact"/>
              <w:jc w:val="left"/>
            </w:pPr>
            <w:r>
              <w:t xml:space="preserve">4.16</w:t>
            </w:r>
          </w:p>
        </w:tc>
        <w:tc>
          <w:tcPr/>
          <w:p>
            <w:pPr>
              <w:pStyle w:val="Compact"/>
              <w:jc w:val="left"/>
            </w:pPr>
            <w:r>
              <w:t xml:space="preserve">17.91</w:t>
            </w:r>
          </w:p>
        </w:tc>
      </w:tr>
      <w:tr>
        <w:tc>
          <w:tcPr/>
          <w:p>
            <w:pPr>
              <w:pStyle w:val="Compact"/>
              <w:jc w:val="left"/>
            </w:pPr>
            <w:r>
              <w:t xml:space="preserve">Private Vessel</w:t>
            </w:r>
          </w:p>
        </w:tc>
        <w:tc>
          <w:tcPr/>
          <w:p>
            <w:pPr>
              <w:pStyle w:val="Compact"/>
              <w:jc w:val="left"/>
            </w:pPr>
            <w:r>
              <w:t xml:space="preserve">29.32</w:t>
            </w:r>
          </w:p>
        </w:tc>
        <w:tc>
          <w:tcPr/>
          <w:p>
            <w:pPr>
              <w:pStyle w:val="Compact"/>
              <w:jc w:val="left"/>
            </w:pPr>
            <w:r>
              <w:t xml:space="preserve">7.83</w:t>
            </w:r>
          </w:p>
        </w:tc>
        <w:tc>
          <w:tcPr/>
          <w:p>
            <w:pPr>
              <w:pStyle w:val="Compact"/>
              <w:jc w:val="left"/>
            </w:pPr>
            <w:r>
              <w:t xml:space="preserve">7.9</w:t>
            </w:r>
          </w:p>
        </w:tc>
        <w:tc>
          <w:tcPr/>
          <w:p>
            <w:pPr>
              <w:pStyle w:val="Compact"/>
              <w:jc w:val="left"/>
            </w:pPr>
            <w:r>
              <w:t xml:space="preserve">45.05</w:t>
            </w:r>
          </w:p>
        </w:tc>
      </w:tr>
      <w:tr>
        <w:tc>
          <w:tcPr/>
          <w:p>
            <w:pPr>
              <w:pStyle w:val="Compact"/>
              <w:jc w:val="left"/>
            </w:pPr>
            <w:r>
              <w:t xml:space="preserve">All Mar. Rec. Fishing</w:t>
            </w:r>
          </w:p>
        </w:tc>
        <w:tc>
          <w:tcPr/>
          <w:p>
            <w:pPr>
              <w:pStyle w:val="Compact"/>
              <w:jc w:val="left"/>
            </w:pPr>
            <w:r>
              <w:t xml:space="preserve">187.69</w:t>
            </w:r>
          </w:p>
        </w:tc>
        <w:tc>
          <w:tcPr/>
          <w:p>
            <w:pPr>
              <w:pStyle w:val="Compact"/>
              <w:jc w:val="left"/>
            </w:pPr>
            <w:r>
              <w:t xml:space="preserve">50.76</w:t>
            </w:r>
          </w:p>
        </w:tc>
        <w:tc>
          <w:tcPr/>
          <w:p>
            <w:pPr>
              <w:pStyle w:val="Compact"/>
              <w:jc w:val="left"/>
            </w:pPr>
            <w:r>
              <w:t xml:space="preserve">42.89</w:t>
            </w:r>
          </w:p>
        </w:tc>
        <w:tc>
          <w:tcPr/>
          <w:p>
            <w:pPr>
              <w:pStyle w:val="Compact"/>
              <w:jc w:val="left"/>
            </w:pPr>
            <w:r>
              <w:t xml:space="preserve">281.34</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Manatee County is given in the bottom right cell.</w:t>
      </w:r>
    </w:p>
    <w:p>
      <w:pPr>
        <w:pStyle w:val="TableCaption"/>
      </w:pPr>
      <w:r>
        <w:t xml:space="preserve">Manatee Marine Rec. Fishing Contribution, Employment</w:t>
      </w:r>
    </w:p>
    <w:tbl>
      <w:tblPr>
        <w:tblStyle w:val="Table"/>
        <w:tblW w:type="auto" w:w="0"/>
        <w:tblLook w:firstRow="1" w:lastRow="0" w:firstColumn="0" w:lastColumn="0" w:noHBand="0" w:noVBand="0" w:val="0020"/>
        <w:tblCaption w:val="Manatee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1491</w:t>
            </w:r>
          </w:p>
        </w:tc>
        <w:tc>
          <w:tcPr/>
          <w:p>
            <w:pPr>
              <w:pStyle w:val="Compact"/>
              <w:jc w:val="left"/>
            </w:pPr>
            <w:r>
              <w:t xml:space="preserve">246</w:t>
            </w:r>
          </w:p>
        </w:tc>
        <w:tc>
          <w:tcPr/>
          <w:p>
            <w:pPr>
              <w:pStyle w:val="Compact"/>
              <w:jc w:val="left"/>
            </w:pPr>
            <w:r>
              <w:t xml:space="preserve">183</w:t>
            </w:r>
          </w:p>
        </w:tc>
        <w:tc>
          <w:tcPr/>
          <w:p>
            <w:pPr>
              <w:pStyle w:val="Compact"/>
              <w:jc w:val="left"/>
            </w:pPr>
            <w:r>
              <w:t xml:space="preserve">1921</w:t>
            </w:r>
          </w:p>
        </w:tc>
      </w:tr>
      <w:tr>
        <w:tc>
          <w:tcPr/>
          <w:p>
            <w:pPr>
              <w:pStyle w:val="Compact"/>
              <w:jc w:val="left"/>
            </w:pPr>
            <w:r>
              <w:t xml:space="preserve">For-hire</w:t>
            </w:r>
          </w:p>
        </w:tc>
        <w:tc>
          <w:tcPr/>
          <w:p>
            <w:pPr>
              <w:pStyle w:val="Compact"/>
              <w:jc w:val="left"/>
            </w:pPr>
            <w:r>
              <w:t xml:space="preserve">126</w:t>
            </w:r>
          </w:p>
        </w:tc>
        <w:tc>
          <w:tcPr/>
          <w:p>
            <w:pPr>
              <w:pStyle w:val="Compact"/>
              <w:jc w:val="left"/>
            </w:pPr>
            <w:r>
              <w:t xml:space="preserve">19</w:t>
            </w:r>
          </w:p>
        </w:tc>
        <w:tc>
          <w:tcPr/>
          <w:p>
            <w:pPr>
              <w:pStyle w:val="Compact"/>
              <w:jc w:val="left"/>
            </w:pPr>
            <w:r>
              <w:t xml:space="preserve">25</w:t>
            </w:r>
          </w:p>
        </w:tc>
        <w:tc>
          <w:tcPr/>
          <w:p>
            <w:pPr>
              <w:pStyle w:val="Compact"/>
              <w:jc w:val="left"/>
            </w:pPr>
            <w:r>
              <w:t xml:space="preserve">170</w:t>
            </w:r>
          </w:p>
        </w:tc>
      </w:tr>
      <w:tr>
        <w:tc>
          <w:tcPr/>
          <w:p>
            <w:pPr>
              <w:pStyle w:val="Compact"/>
              <w:jc w:val="left"/>
            </w:pPr>
            <w:r>
              <w:t xml:space="preserve">Private Vessel</w:t>
            </w:r>
          </w:p>
        </w:tc>
        <w:tc>
          <w:tcPr/>
          <w:p>
            <w:pPr>
              <w:pStyle w:val="Compact"/>
              <w:jc w:val="left"/>
            </w:pPr>
            <w:r>
              <w:t xml:space="preserve">238</w:t>
            </w:r>
          </w:p>
        </w:tc>
        <w:tc>
          <w:tcPr/>
          <w:p>
            <w:pPr>
              <w:pStyle w:val="Compact"/>
              <w:jc w:val="left"/>
            </w:pPr>
            <w:r>
              <w:t xml:space="preserve">49</w:t>
            </w:r>
          </w:p>
        </w:tc>
        <w:tc>
          <w:tcPr/>
          <w:p>
            <w:pPr>
              <w:pStyle w:val="Compact"/>
              <w:jc w:val="left"/>
            </w:pPr>
            <w:r>
              <w:t xml:space="preserve">47</w:t>
            </w:r>
          </w:p>
        </w:tc>
        <w:tc>
          <w:tcPr/>
          <w:p>
            <w:pPr>
              <w:pStyle w:val="Compact"/>
              <w:jc w:val="left"/>
            </w:pPr>
            <w:r>
              <w:t xml:space="preserve">334</w:t>
            </w:r>
          </w:p>
        </w:tc>
      </w:tr>
      <w:tr>
        <w:tc>
          <w:tcPr/>
          <w:p>
            <w:pPr>
              <w:pStyle w:val="Compact"/>
              <w:jc w:val="left"/>
            </w:pPr>
            <w:r>
              <w:t xml:space="preserve">All Mar. Rec. Fishing</w:t>
            </w:r>
          </w:p>
        </w:tc>
        <w:tc>
          <w:tcPr/>
          <w:p>
            <w:pPr>
              <w:pStyle w:val="Compact"/>
              <w:jc w:val="left"/>
            </w:pPr>
            <w:r>
              <w:t xml:space="preserve">1855</w:t>
            </w:r>
          </w:p>
        </w:tc>
        <w:tc>
          <w:tcPr/>
          <w:p>
            <w:pPr>
              <w:pStyle w:val="Compact"/>
              <w:jc w:val="left"/>
            </w:pPr>
            <w:r>
              <w:t xml:space="preserve">314</w:t>
            </w:r>
          </w:p>
        </w:tc>
        <w:tc>
          <w:tcPr/>
          <w:p>
            <w:pPr>
              <w:pStyle w:val="Compact"/>
              <w:jc w:val="left"/>
            </w:pPr>
            <w:r>
              <w:t xml:space="preserve">255</w:t>
            </w:r>
          </w:p>
        </w:tc>
        <w:tc>
          <w:tcPr/>
          <w:p>
            <w:pPr>
              <w:pStyle w:val="Compact"/>
              <w:jc w:val="left"/>
            </w:pPr>
            <w:r>
              <w:t xml:space="preserve">2425</w:t>
            </w:r>
          </w:p>
        </w:tc>
      </w:tr>
    </w:tbl>
    <w:bookmarkEnd w:id="24"/>
    <w:bookmarkStart w:id="25" w:name="summary"/>
    <w:p>
      <w:pPr>
        <w:pStyle w:val="Heading3"/>
      </w:pPr>
      <w:r>
        <w:t xml:space="preserve">Summary</w:t>
      </w:r>
    </w:p>
    <w:p>
      <w:pPr>
        <w:pStyle w:val="FirstParagraph"/>
      </w:pPr>
      <w:r>
        <w:t xml:space="preserve">This summary shows that marine recreational fishing in Manatee County contributed $281.34M and 2425 jobs to the Manatee County economy in 2024. Again, it is critical to understand that this is not economic value, but nonetheless should be helpful for understanding the economic importance of marine recreational fishing to Manatee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collins@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collins@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DA13C-AEBD-437E-9235-F74091F780A4}"/>
</file>

<file path=customXml/itemProps2.xml><?xml version="1.0" encoding="utf-8"?>
<ds:datastoreItem xmlns:ds="http://schemas.openxmlformats.org/officeDocument/2006/customXml" ds:itemID="{AA81C7CA-69A7-403B-A6A8-42D3605C8F12}"/>
</file>

<file path=customXml/itemProps3.xml><?xml version="1.0" encoding="utf-8"?>
<ds:datastoreItem xmlns:ds="http://schemas.openxmlformats.org/officeDocument/2006/customXml" ds:itemID="{053949EB-DA58-42B0-B856-1B1AA70A35E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Manatee County</dc:title>
  <dc:creator>Prepared for the Manatee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Angela Collins, IFAS Assistant Extension Scientist. abcollins@ufl.edu</dc:creator>
  <cp:keywords/>
  <dcterms:created xsi:type="dcterms:W3CDTF">2025-03-19T19:28:32Z</dcterms:created>
  <dcterms:modified xsi:type="dcterms:W3CDTF">2025-03-19T19:28:32Z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