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Manatee County</w:t>
      </w:r>
    </w:p>
    <w:p>
      <w:pPr>
        <w:pStyle w:val="Author"/>
      </w:pPr>
      <w:r>
        <w:t xml:space="preserve">A data report for the Manatee County Tourist Development Council, Chamber of Commerce, and Board of County Commissioners and the Anna Maria Island Chamber of Commerce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Angela Collins IFAS Assistant Extension Scientist</w:t>
      </w:r>
      <w:r>
        <w:t xml:space="preserve"> </w:t>
      </w:r>
      <w:hyperlink r:id="rId23">
        <w:r>
          <w:rPr>
            <w:rStyle w:val="Hyperlink"/>
          </w:rPr>
          <w:t xml:space="preserve">abcollins@ufl.edu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Manatee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Manatee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Manatee County by marine recreational fishing activity. We believe this information can be useful to the Manatee County Tourist Development Council, Chamber of Commerce, and Board of County Commissioners and the Anna Maria Island Chamber of Commerce,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Manatee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Manatee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Manatee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Manatee County that might impact recreational fishing activity, or when discussing similar changes that occur at a regional or state-wide scale but might affect Manatee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Manatee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Manatee County estimates use the average marine recreational fisher expenditures for the Gulf coast.</w:t>
      </w:r>
    </w:p>
    <w:p>
      <w:pPr>
        <w:pStyle w:val="BodyText"/>
      </w:pPr>
      <w:r>
        <w:rPr>
          <w:i/>
          <w:iCs/>
        </w:rPr>
        <w:t xml:space="preserve">2. Estimating the number of marine recreational fishing trips in Manatee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Manatee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Manatee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Manatee economy. However, it is critical to remember that the economic contribution numbers reported for Manatee County are not equivalent to economic value, and thus they do not represent economic benefit to Manatee County.</w:t>
      </w:r>
      <w:r>
        <w:t xml:space="preserve"> </w:t>
      </w:r>
      <w:r>
        <w:t xml:space="preserve">A second important caveat is to understand that the data used to calculate economic contributions for Manatee County are not perfectly precise. The estimates of trips (by fishing mode) can have substantial error (this is described in a separate report on recreational fishing effort in Manatee County, see authors or your local Florida Sea Grant agent if you do not have this report). Also, the expenditures per trip represent the average, and were calculated at the coast-wide (Gulf, Atlantic) scale, rather than precisely in Manatee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Manatee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Manatee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Manatee County associated with all marine recreational fishing trips in 2024 was estimated to be $281.34M, and these trips supported 2425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Manatee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Manatee County 2024 Marine Rec. Fishing Contribution, all modes</w:t>
      </w:r>
    </w:p>
    <w:tbl>
      <w:tblPr>
        <w:tblStyle w:val="Table"/>
        <w:tblW w:type="auto" w:w="0"/>
        <w:tblLook w:firstRow="1" w:lastRow="0" w:firstColumn="0" w:lastColumn="0" w:noHBand="0" w:noVBand="0" w:val="0020"/>
        <w:tblCaption w:val="Manatee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187.69</w:t>
            </w:r>
          </w:p>
        </w:tc>
        <w:tc>
          <w:tcPr/>
          <w:p>
            <w:pPr>
              <w:pStyle w:val="Compact"/>
              <w:jc w:val="left"/>
            </w:pPr>
            <w:r>
              <w:t xml:space="preserve">50.76</w:t>
            </w:r>
          </w:p>
        </w:tc>
        <w:tc>
          <w:tcPr/>
          <w:p>
            <w:pPr>
              <w:pStyle w:val="Compact"/>
              <w:jc w:val="left"/>
            </w:pPr>
            <w:r>
              <w:t xml:space="preserve">42.89</w:t>
            </w:r>
          </w:p>
        </w:tc>
        <w:tc>
          <w:tcPr/>
          <w:p>
            <w:pPr>
              <w:pStyle w:val="Compact"/>
              <w:jc w:val="left"/>
            </w:pPr>
            <w:r>
              <w:t xml:space="preserve">281.34</w:t>
            </w:r>
          </w:p>
        </w:tc>
      </w:tr>
      <w:tr>
        <w:tc>
          <w:tcPr/>
          <w:p>
            <w:pPr>
              <w:pStyle w:val="Compact"/>
              <w:jc w:val="left"/>
            </w:pPr>
            <w:r>
              <w:t xml:space="preserve">Employment (Jobs)</w:t>
            </w:r>
          </w:p>
        </w:tc>
        <w:tc>
          <w:tcPr/>
          <w:p>
            <w:pPr>
              <w:pStyle w:val="Compact"/>
              <w:jc w:val="left"/>
            </w:pPr>
            <w:r>
              <w:t xml:space="preserve">1855</w:t>
            </w:r>
          </w:p>
        </w:tc>
        <w:tc>
          <w:tcPr/>
          <w:p>
            <w:pPr>
              <w:pStyle w:val="Compact"/>
              <w:jc w:val="left"/>
            </w:pPr>
            <w:r>
              <w:t xml:space="preserve">314</w:t>
            </w:r>
          </w:p>
        </w:tc>
        <w:tc>
          <w:tcPr/>
          <w:p>
            <w:pPr>
              <w:pStyle w:val="Compact"/>
              <w:jc w:val="left"/>
            </w:pPr>
            <w:r>
              <w:t xml:space="preserve">255</w:t>
            </w:r>
          </w:p>
        </w:tc>
        <w:tc>
          <w:tcPr/>
          <w:p>
            <w:pPr>
              <w:pStyle w:val="Compact"/>
              <w:jc w:val="left"/>
            </w:pPr>
            <w:r>
              <w:t xml:space="preserve">2425</w:t>
            </w:r>
          </w:p>
        </w:tc>
      </w:tr>
      <w:tr>
        <w:tc>
          <w:tcPr/>
          <w:p>
            <w:pPr>
              <w:pStyle w:val="Compact"/>
              <w:jc w:val="left"/>
            </w:pPr>
            <w:r>
              <w:t xml:space="preserve">Value added($M.)</w:t>
            </w:r>
          </w:p>
        </w:tc>
        <w:tc>
          <w:tcPr/>
          <w:p>
            <w:pPr>
              <w:pStyle w:val="Compact"/>
              <w:jc w:val="left"/>
            </w:pPr>
            <w:r>
              <w:t xml:space="preserve">120.16</w:t>
            </w:r>
          </w:p>
        </w:tc>
        <w:tc>
          <w:tcPr/>
          <w:p>
            <w:pPr>
              <w:pStyle w:val="Compact"/>
              <w:jc w:val="left"/>
            </w:pPr>
            <w:r>
              <w:t xml:space="preserve">26.28</w:t>
            </w:r>
          </w:p>
        </w:tc>
        <w:tc>
          <w:tcPr/>
          <w:p>
            <w:pPr>
              <w:pStyle w:val="Compact"/>
              <w:jc w:val="left"/>
            </w:pPr>
            <w:r>
              <w:t xml:space="preserve">27.18</w:t>
            </w:r>
          </w:p>
        </w:tc>
        <w:tc>
          <w:tcPr/>
          <w:p>
            <w:pPr>
              <w:pStyle w:val="Compact"/>
              <w:jc w:val="left"/>
            </w:pPr>
            <w:r>
              <w:t xml:space="preserve">173.61</w:t>
            </w:r>
          </w:p>
        </w:tc>
      </w:tr>
      <w:tr>
        <w:tc>
          <w:tcPr/>
          <w:p>
            <w:pPr>
              <w:pStyle w:val="Compact"/>
              <w:jc w:val="left"/>
            </w:pPr>
            <w:r>
              <w:t xml:space="preserve">Labor Income($M.)</w:t>
            </w:r>
          </w:p>
        </w:tc>
        <w:tc>
          <w:tcPr/>
          <w:p>
            <w:pPr>
              <w:pStyle w:val="Compact"/>
              <w:jc w:val="left"/>
            </w:pPr>
            <w:r>
              <w:t xml:space="preserve">66.63</w:t>
            </w:r>
          </w:p>
        </w:tc>
        <w:tc>
          <w:tcPr/>
          <w:p>
            <w:pPr>
              <w:pStyle w:val="Compact"/>
              <w:jc w:val="left"/>
            </w:pPr>
            <w:r>
              <w:t xml:space="preserve">17.38</w:t>
            </w:r>
          </w:p>
        </w:tc>
        <w:tc>
          <w:tcPr/>
          <w:p>
            <w:pPr>
              <w:pStyle w:val="Compact"/>
              <w:jc w:val="left"/>
            </w:pPr>
            <w:r>
              <w:t xml:space="preserve">12.92</w:t>
            </w:r>
          </w:p>
        </w:tc>
        <w:tc>
          <w:tcPr/>
          <w:p>
            <w:pPr>
              <w:pStyle w:val="Compact"/>
              <w:jc w:val="left"/>
            </w:pPr>
            <w:r>
              <w:t xml:space="preserve">96.95</w:t>
            </w:r>
          </w:p>
        </w:tc>
      </w:tr>
      <w:tr>
        <w:tc>
          <w:tcPr/>
          <w:p>
            <w:pPr>
              <w:pStyle w:val="Compact"/>
              <w:jc w:val="left"/>
            </w:pPr>
            <w:r>
              <w:t xml:space="preserve">Other Property Income($M.)</w:t>
            </w:r>
          </w:p>
        </w:tc>
        <w:tc>
          <w:tcPr/>
          <w:p>
            <w:pPr>
              <w:pStyle w:val="Compact"/>
              <w:jc w:val="left"/>
            </w:pPr>
            <w:r>
              <w:t xml:space="preserve">32.78</w:t>
            </w:r>
          </w:p>
        </w:tc>
        <w:tc>
          <w:tcPr/>
          <w:p>
            <w:pPr>
              <w:pStyle w:val="Compact"/>
              <w:jc w:val="left"/>
            </w:pPr>
            <w:r>
              <w:t xml:space="preserve">7.41</w:t>
            </w:r>
          </w:p>
        </w:tc>
        <w:tc>
          <w:tcPr/>
          <w:p>
            <w:pPr>
              <w:pStyle w:val="Compact"/>
              <w:jc w:val="left"/>
            </w:pPr>
            <w:r>
              <w:t xml:space="preserve">11.49</w:t>
            </w:r>
          </w:p>
        </w:tc>
        <w:tc>
          <w:tcPr/>
          <w:p>
            <w:pPr>
              <w:pStyle w:val="Compact"/>
              <w:jc w:val="left"/>
            </w:pPr>
            <w:r>
              <w:t xml:space="preserve">51.68</w:t>
            </w:r>
          </w:p>
        </w:tc>
      </w:tr>
      <w:tr>
        <w:tc>
          <w:tcPr/>
          <w:p>
            <w:pPr>
              <w:pStyle w:val="Compact"/>
              <w:jc w:val="left"/>
            </w:pPr>
            <w:r>
              <w:t xml:space="preserve">Indirect Business Tax($M.)</w:t>
            </w:r>
          </w:p>
        </w:tc>
        <w:tc>
          <w:tcPr/>
          <w:p>
            <w:pPr>
              <w:pStyle w:val="Compact"/>
              <w:jc w:val="left"/>
            </w:pPr>
            <w:r>
              <w:t xml:space="preserve">20.75</w:t>
            </w:r>
          </w:p>
        </w:tc>
        <w:tc>
          <w:tcPr/>
          <w:p>
            <w:pPr>
              <w:pStyle w:val="Compact"/>
              <w:jc w:val="left"/>
            </w:pPr>
            <w:r>
              <w:t xml:space="preserve">1.48</w:t>
            </w:r>
          </w:p>
        </w:tc>
        <w:tc>
          <w:tcPr/>
          <w:p>
            <w:pPr>
              <w:pStyle w:val="Compact"/>
              <w:jc w:val="left"/>
            </w:pPr>
            <w:r>
              <w:t xml:space="preserve">2.76</w:t>
            </w:r>
          </w:p>
        </w:tc>
        <w:tc>
          <w:tcPr/>
          <w:p>
            <w:pPr>
              <w:pStyle w:val="Compact"/>
              <w:jc w:val="left"/>
            </w:pPr>
            <w:r>
              <w:t xml:space="preserve">24.99</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Manatee County associated with shore-based marine recreational fishing trips in 2024 was estimated to be $218.38M, and these trips supported 1921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Manatee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Manatee County 2024 Marine Rec. Fishing Contribution, Shore-based</w:t>
      </w:r>
    </w:p>
    <w:tbl>
      <w:tblPr>
        <w:tblStyle w:val="Table"/>
        <w:tblW w:type="auto" w:w="0"/>
        <w:tblLook w:firstRow="1" w:lastRow="0" w:firstColumn="0" w:lastColumn="0" w:noHBand="0" w:noVBand="0" w:val="0020"/>
        <w:tblCaption w:val="Manatee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147.4</w:t>
            </w:r>
          </w:p>
        </w:tc>
        <w:tc>
          <w:tcPr/>
          <w:p>
            <w:pPr>
              <w:pStyle w:val="Compact"/>
              <w:jc w:val="left"/>
            </w:pPr>
            <w:r>
              <w:t xml:space="preserve">40.15</w:t>
            </w:r>
          </w:p>
        </w:tc>
        <w:tc>
          <w:tcPr/>
          <w:p>
            <w:pPr>
              <w:pStyle w:val="Compact"/>
              <w:jc w:val="left"/>
            </w:pPr>
            <w:r>
              <w:t xml:space="preserve">30.83</w:t>
            </w:r>
          </w:p>
        </w:tc>
        <w:tc>
          <w:tcPr/>
          <w:p>
            <w:pPr>
              <w:pStyle w:val="Compact"/>
              <w:jc w:val="left"/>
            </w:pPr>
            <w:r>
              <w:t xml:space="preserve">218.38</w:t>
            </w:r>
          </w:p>
        </w:tc>
      </w:tr>
      <w:tr>
        <w:tc>
          <w:tcPr/>
          <w:p>
            <w:pPr>
              <w:pStyle w:val="Compact"/>
              <w:jc w:val="left"/>
            </w:pPr>
            <w:r>
              <w:t xml:space="preserve">Employment (Jobs)</w:t>
            </w:r>
          </w:p>
        </w:tc>
        <w:tc>
          <w:tcPr/>
          <w:p>
            <w:pPr>
              <w:pStyle w:val="Compact"/>
              <w:jc w:val="left"/>
            </w:pPr>
            <w:r>
              <w:t xml:space="preserve">1491</w:t>
            </w:r>
          </w:p>
        </w:tc>
        <w:tc>
          <w:tcPr/>
          <w:p>
            <w:pPr>
              <w:pStyle w:val="Compact"/>
              <w:jc w:val="left"/>
            </w:pPr>
            <w:r>
              <w:t xml:space="preserve">246</w:t>
            </w:r>
          </w:p>
        </w:tc>
        <w:tc>
          <w:tcPr/>
          <w:p>
            <w:pPr>
              <w:pStyle w:val="Compact"/>
              <w:jc w:val="left"/>
            </w:pPr>
            <w:r>
              <w:t xml:space="preserve">183</w:t>
            </w:r>
          </w:p>
        </w:tc>
        <w:tc>
          <w:tcPr/>
          <w:p>
            <w:pPr>
              <w:pStyle w:val="Compact"/>
              <w:jc w:val="left"/>
            </w:pPr>
            <w:r>
              <w:t xml:space="preserve">1921</w:t>
            </w:r>
          </w:p>
        </w:tc>
      </w:tr>
      <w:tr>
        <w:tc>
          <w:tcPr/>
          <w:p>
            <w:pPr>
              <w:pStyle w:val="Compact"/>
              <w:jc w:val="left"/>
            </w:pPr>
            <w:r>
              <w:t xml:space="preserve">Value added($M.)</w:t>
            </w:r>
          </w:p>
        </w:tc>
        <w:tc>
          <w:tcPr/>
          <w:p>
            <w:pPr>
              <w:pStyle w:val="Compact"/>
              <w:jc w:val="left"/>
            </w:pPr>
            <w:r>
              <w:t xml:space="preserve">93.87</w:t>
            </w:r>
          </w:p>
        </w:tc>
        <w:tc>
          <w:tcPr/>
          <w:p>
            <w:pPr>
              <w:pStyle w:val="Compact"/>
              <w:jc w:val="left"/>
            </w:pPr>
            <w:r>
              <w:t xml:space="preserve">20.72</w:t>
            </w:r>
          </w:p>
        </w:tc>
        <w:tc>
          <w:tcPr/>
          <w:p>
            <w:pPr>
              <w:pStyle w:val="Compact"/>
              <w:jc w:val="left"/>
            </w:pPr>
            <w:r>
              <w:t xml:space="preserve">19.53</w:t>
            </w:r>
          </w:p>
        </w:tc>
        <w:tc>
          <w:tcPr/>
          <w:p>
            <w:pPr>
              <w:pStyle w:val="Compact"/>
              <w:jc w:val="left"/>
            </w:pPr>
            <w:r>
              <w:t xml:space="preserve">134.12</w:t>
            </w:r>
          </w:p>
        </w:tc>
      </w:tr>
      <w:tr>
        <w:tc>
          <w:tcPr/>
          <w:p>
            <w:pPr>
              <w:pStyle w:val="Compact"/>
              <w:jc w:val="left"/>
            </w:pPr>
            <w:r>
              <w:t xml:space="preserve">Labor Income($M.)</w:t>
            </w:r>
          </w:p>
        </w:tc>
        <w:tc>
          <w:tcPr/>
          <w:p>
            <w:pPr>
              <w:pStyle w:val="Compact"/>
              <w:jc w:val="left"/>
            </w:pPr>
            <w:r>
              <w:t xml:space="preserve">47.46</w:t>
            </w:r>
          </w:p>
        </w:tc>
        <w:tc>
          <w:tcPr/>
          <w:p>
            <w:pPr>
              <w:pStyle w:val="Compact"/>
              <w:jc w:val="left"/>
            </w:pPr>
            <w:r>
              <w:t xml:space="preserve">13.28</w:t>
            </w:r>
          </w:p>
        </w:tc>
        <w:tc>
          <w:tcPr/>
          <w:p>
            <w:pPr>
              <w:pStyle w:val="Compact"/>
              <w:jc w:val="left"/>
            </w:pPr>
            <w:r>
              <w:t xml:space="preserve">9.29</w:t>
            </w:r>
          </w:p>
        </w:tc>
        <w:tc>
          <w:tcPr/>
          <w:p>
            <w:pPr>
              <w:pStyle w:val="Compact"/>
              <w:jc w:val="left"/>
            </w:pPr>
            <w:r>
              <w:t xml:space="preserve">70.04</w:t>
            </w:r>
          </w:p>
        </w:tc>
      </w:tr>
      <w:tr>
        <w:tc>
          <w:tcPr/>
          <w:p>
            <w:pPr>
              <w:pStyle w:val="Compact"/>
              <w:jc w:val="left"/>
            </w:pPr>
            <w:r>
              <w:t xml:space="preserve">Other Property Income($M.)</w:t>
            </w:r>
          </w:p>
        </w:tc>
        <w:tc>
          <w:tcPr/>
          <w:p>
            <w:pPr>
              <w:pStyle w:val="Compact"/>
              <w:jc w:val="left"/>
            </w:pPr>
            <w:r>
              <w:t xml:space="preserve">29.09</w:t>
            </w:r>
          </w:p>
        </w:tc>
        <w:tc>
          <w:tcPr/>
          <w:p>
            <w:pPr>
              <w:pStyle w:val="Compact"/>
              <w:jc w:val="left"/>
            </w:pPr>
            <w:r>
              <w:t xml:space="preserve">6.24</w:t>
            </w:r>
          </w:p>
        </w:tc>
        <w:tc>
          <w:tcPr/>
          <w:p>
            <w:pPr>
              <w:pStyle w:val="Compact"/>
              <w:jc w:val="left"/>
            </w:pPr>
            <w:r>
              <w:t xml:space="preserve">8.26</w:t>
            </w:r>
          </w:p>
        </w:tc>
        <w:tc>
          <w:tcPr/>
          <w:p>
            <w:pPr>
              <w:pStyle w:val="Compact"/>
              <w:jc w:val="left"/>
            </w:pPr>
            <w:r>
              <w:t xml:space="preserve">43.59</w:t>
            </w:r>
          </w:p>
        </w:tc>
      </w:tr>
      <w:tr>
        <w:tc>
          <w:tcPr/>
          <w:p>
            <w:pPr>
              <w:pStyle w:val="Compact"/>
              <w:jc w:val="left"/>
            </w:pPr>
            <w:r>
              <w:t xml:space="preserve">Indirect Business Tax($M.)</w:t>
            </w:r>
          </w:p>
        </w:tc>
        <w:tc>
          <w:tcPr/>
          <w:p>
            <w:pPr>
              <w:pStyle w:val="Compact"/>
              <w:jc w:val="left"/>
            </w:pPr>
            <w:r>
              <w:t xml:space="preserve">17.32</w:t>
            </w:r>
          </w:p>
        </w:tc>
        <w:tc>
          <w:tcPr/>
          <w:p>
            <w:pPr>
              <w:pStyle w:val="Compact"/>
              <w:jc w:val="left"/>
            </w:pPr>
            <w:r>
              <w:t xml:space="preserve">1.2</w:t>
            </w:r>
          </w:p>
        </w:tc>
        <w:tc>
          <w:tcPr/>
          <w:p>
            <w:pPr>
              <w:pStyle w:val="Compact"/>
              <w:jc w:val="left"/>
            </w:pPr>
            <w:r>
              <w:t xml:space="preserve">1.98</w:t>
            </w:r>
          </w:p>
        </w:tc>
        <w:tc>
          <w:tcPr/>
          <w:p>
            <w:pPr>
              <w:pStyle w:val="Compact"/>
              <w:jc w:val="left"/>
            </w:pPr>
            <w:r>
              <w:t xml:space="preserve">20.5</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Manatee County associated with for-hire marine recreational fishing trips in 2024 was estimated to be $17.91M, and these trips supported 170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Manatee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Manatee County 2024 Marine Rec. Fishing Contribution, for-hire</w:t>
      </w:r>
    </w:p>
    <w:tbl>
      <w:tblPr>
        <w:tblStyle w:val="Table"/>
        <w:tblW w:type="auto" w:w="0"/>
        <w:tblLook w:firstRow="1" w:lastRow="0" w:firstColumn="0" w:lastColumn="0" w:noHBand="0" w:noVBand="0" w:val="0020"/>
        <w:tblCaption w:val="Manatee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10.97</w:t>
            </w:r>
          </w:p>
        </w:tc>
        <w:tc>
          <w:tcPr/>
          <w:p>
            <w:pPr>
              <w:pStyle w:val="Compact"/>
              <w:jc w:val="left"/>
            </w:pPr>
            <w:r>
              <w:t xml:space="preserve">2.78</w:t>
            </w:r>
          </w:p>
        </w:tc>
        <w:tc>
          <w:tcPr/>
          <w:p>
            <w:pPr>
              <w:pStyle w:val="Compact"/>
              <w:jc w:val="left"/>
            </w:pPr>
            <w:r>
              <w:t xml:space="preserve">4.16</w:t>
            </w:r>
          </w:p>
        </w:tc>
        <w:tc>
          <w:tcPr/>
          <w:p>
            <w:pPr>
              <w:pStyle w:val="Compact"/>
              <w:jc w:val="left"/>
            </w:pPr>
            <w:r>
              <w:t xml:space="preserve">17.91</w:t>
            </w:r>
          </w:p>
        </w:tc>
      </w:tr>
      <w:tr>
        <w:tc>
          <w:tcPr/>
          <w:p>
            <w:pPr>
              <w:pStyle w:val="Compact"/>
              <w:jc w:val="left"/>
            </w:pPr>
            <w:r>
              <w:t xml:space="preserve">Employment (Jobs)</w:t>
            </w:r>
          </w:p>
        </w:tc>
        <w:tc>
          <w:tcPr/>
          <w:p>
            <w:pPr>
              <w:pStyle w:val="Compact"/>
              <w:jc w:val="left"/>
            </w:pPr>
            <w:r>
              <w:t xml:space="preserve">126</w:t>
            </w:r>
          </w:p>
        </w:tc>
        <w:tc>
          <w:tcPr/>
          <w:p>
            <w:pPr>
              <w:pStyle w:val="Compact"/>
              <w:jc w:val="left"/>
            </w:pPr>
            <w:r>
              <w:t xml:space="preserve">19</w:t>
            </w:r>
          </w:p>
        </w:tc>
        <w:tc>
          <w:tcPr/>
          <w:p>
            <w:pPr>
              <w:pStyle w:val="Compact"/>
              <w:jc w:val="left"/>
            </w:pPr>
            <w:r>
              <w:t xml:space="preserve">25</w:t>
            </w:r>
          </w:p>
        </w:tc>
        <w:tc>
          <w:tcPr/>
          <w:p>
            <w:pPr>
              <w:pStyle w:val="Compact"/>
              <w:jc w:val="left"/>
            </w:pPr>
            <w:r>
              <w:t xml:space="preserve">170</w:t>
            </w:r>
          </w:p>
        </w:tc>
      </w:tr>
      <w:tr>
        <w:tc>
          <w:tcPr/>
          <w:p>
            <w:pPr>
              <w:pStyle w:val="Compact"/>
              <w:jc w:val="left"/>
            </w:pPr>
            <w:r>
              <w:t xml:space="preserve">Value added($M.)</w:t>
            </w:r>
          </w:p>
        </w:tc>
        <w:tc>
          <w:tcPr/>
          <w:p>
            <w:pPr>
              <w:pStyle w:val="Compact"/>
              <w:jc w:val="left"/>
            </w:pPr>
            <w:r>
              <w:t xml:space="preserve">7.44</w:t>
            </w:r>
          </w:p>
        </w:tc>
        <w:tc>
          <w:tcPr/>
          <w:p>
            <w:pPr>
              <w:pStyle w:val="Compact"/>
              <w:jc w:val="left"/>
            </w:pPr>
            <w:r>
              <w:t xml:space="preserve">1.49</w:t>
            </w:r>
          </w:p>
        </w:tc>
        <w:tc>
          <w:tcPr/>
          <w:p>
            <w:pPr>
              <w:pStyle w:val="Compact"/>
              <w:jc w:val="left"/>
            </w:pPr>
            <w:r>
              <w:t xml:space="preserve">2.64</w:t>
            </w:r>
          </w:p>
        </w:tc>
        <w:tc>
          <w:tcPr/>
          <w:p>
            <w:pPr>
              <w:pStyle w:val="Compact"/>
              <w:jc w:val="left"/>
            </w:pPr>
            <w:r>
              <w:t xml:space="preserve">11.57</w:t>
            </w:r>
          </w:p>
        </w:tc>
      </w:tr>
      <w:tr>
        <w:tc>
          <w:tcPr/>
          <w:p>
            <w:pPr>
              <w:pStyle w:val="Compact"/>
              <w:jc w:val="left"/>
            </w:pPr>
            <w:r>
              <w:t xml:space="preserve">Labor Income($M.)</w:t>
            </w:r>
          </w:p>
        </w:tc>
        <w:tc>
          <w:tcPr/>
          <w:p>
            <w:pPr>
              <w:pStyle w:val="Compact"/>
              <w:jc w:val="left"/>
            </w:pPr>
            <w:r>
              <w:t xml:space="preserve">7.07</w:t>
            </w:r>
          </w:p>
        </w:tc>
        <w:tc>
          <w:tcPr/>
          <w:p>
            <w:pPr>
              <w:pStyle w:val="Compact"/>
              <w:jc w:val="left"/>
            </w:pPr>
            <w:r>
              <w:t xml:space="preserve">1.11</w:t>
            </w:r>
          </w:p>
        </w:tc>
        <w:tc>
          <w:tcPr/>
          <w:p>
            <w:pPr>
              <w:pStyle w:val="Compact"/>
              <w:jc w:val="left"/>
            </w:pPr>
            <w:r>
              <w:t xml:space="preserve">1.25</w:t>
            </w:r>
          </w:p>
        </w:tc>
        <w:tc>
          <w:tcPr/>
          <w:p>
            <w:pPr>
              <w:pStyle w:val="Compact"/>
              <w:jc w:val="left"/>
            </w:pPr>
            <w:r>
              <w:t xml:space="preserve">9.44</w:t>
            </w:r>
          </w:p>
        </w:tc>
      </w:tr>
      <w:tr>
        <w:tc>
          <w:tcPr/>
          <w:p>
            <w:pPr>
              <w:pStyle w:val="Compact"/>
              <w:jc w:val="left"/>
            </w:pPr>
            <w:r>
              <w:t xml:space="preserve">Other Property Income($M.)</w:t>
            </w:r>
          </w:p>
        </w:tc>
        <w:tc>
          <w:tcPr/>
          <w:p>
            <w:pPr>
              <w:pStyle w:val="Compact"/>
              <w:jc w:val="left"/>
            </w:pPr>
            <w:r>
              <w:t xml:space="preserve">-0.14</w:t>
            </w:r>
          </w:p>
        </w:tc>
        <w:tc>
          <w:tcPr/>
          <w:p>
            <w:pPr>
              <w:pStyle w:val="Compact"/>
              <w:jc w:val="left"/>
            </w:pPr>
            <w:r>
              <w:t xml:space="preserve">0.3</w:t>
            </w:r>
          </w:p>
        </w:tc>
        <w:tc>
          <w:tcPr/>
          <w:p>
            <w:pPr>
              <w:pStyle w:val="Compact"/>
              <w:jc w:val="left"/>
            </w:pPr>
            <w:r>
              <w:t xml:space="preserve">1.11</w:t>
            </w:r>
          </w:p>
        </w:tc>
        <w:tc>
          <w:tcPr/>
          <w:p>
            <w:pPr>
              <w:pStyle w:val="Compact"/>
              <w:jc w:val="left"/>
            </w:pPr>
            <w:r>
              <w:t xml:space="preserve">1.28</w:t>
            </w:r>
          </w:p>
        </w:tc>
      </w:tr>
      <w:tr>
        <w:tc>
          <w:tcPr/>
          <w:p>
            <w:pPr>
              <w:pStyle w:val="Compact"/>
              <w:jc w:val="left"/>
            </w:pPr>
            <w:r>
              <w:t xml:space="preserve">Indirect Business Tax($M.)</w:t>
            </w:r>
          </w:p>
        </w:tc>
        <w:tc>
          <w:tcPr/>
          <w:p>
            <w:pPr>
              <w:pStyle w:val="Compact"/>
              <w:jc w:val="left"/>
            </w:pPr>
            <w:r>
              <w:t xml:space="preserve">0.51</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0.85</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Manatee County associated with private/rental vessel marine recreational fishing trips in 2024 was estimated to be $45.05M, and these trips supported 334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Manatee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Manatee County 2024 Marine Rec. Fishing Contribution, Private vessel</w:t>
      </w:r>
    </w:p>
    <w:tbl>
      <w:tblPr>
        <w:tblStyle w:val="Table"/>
        <w:tblW w:type="auto" w:w="0"/>
        <w:tblLook w:firstRow="1" w:lastRow="0" w:firstColumn="0" w:lastColumn="0" w:noHBand="0" w:noVBand="0" w:val="0020"/>
        <w:tblCaption w:val="Manatee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29.32</w:t>
            </w:r>
          </w:p>
        </w:tc>
        <w:tc>
          <w:tcPr/>
          <w:p>
            <w:pPr>
              <w:pStyle w:val="Compact"/>
              <w:jc w:val="left"/>
            </w:pPr>
            <w:r>
              <w:t xml:space="preserve">7.83</w:t>
            </w:r>
          </w:p>
        </w:tc>
        <w:tc>
          <w:tcPr/>
          <w:p>
            <w:pPr>
              <w:pStyle w:val="Compact"/>
              <w:jc w:val="left"/>
            </w:pPr>
            <w:r>
              <w:t xml:space="preserve">7.9</w:t>
            </w:r>
          </w:p>
        </w:tc>
        <w:tc>
          <w:tcPr/>
          <w:p>
            <w:pPr>
              <w:pStyle w:val="Compact"/>
              <w:jc w:val="left"/>
            </w:pPr>
            <w:r>
              <w:t xml:space="preserve">45.05</w:t>
            </w:r>
          </w:p>
        </w:tc>
      </w:tr>
      <w:tr>
        <w:tc>
          <w:tcPr/>
          <w:p>
            <w:pPr>
              <w:pStyle w:val="Compact"/>
              <w:jc w:val="left"/>
            </w:pPr>
            <w:r>
              <w:t xml:space="preserve">Employment (Jobs)</w:t>
            </w:r>
          </w:p>
        </w:tc>
        <w:tc>
          <w:tcPr/>
          <w:p>
            <w:pPr>
              <w:pStyle w:val="Compact"/>
              <w:jc w:val="left"/>
            </w:pPr>
            <w:r>
              <w:t xml:space="preserve">238</w:t>
            </w:r>
          </w:p>
        </w:tc>
        <w:tc>
          <w:tcPr/>
          <w:p>
            <w:pPr>
              <w:pStyle w:val="Compact"/>
              <w:jc w:val="left"/>
            </w:pPr>
            <w:r>
              <w:t xml:space="preserve">49</w:t>
            </w:r>
          </w:p>
        </w:tc>
        <w:tc>
          <w:tcPr/>
          <w:p>
            <w:pPr>
              <w:pStyle w:val="Compact"/>
              <w:jc w:val="left"/>
            </w:pPr>
            <w:r>
              <w:t xml:space="preserve">47</w:t>
            </w:r>
          </w:p>
        </w:tc>
        <w:tc>
          <w:tcPr/>
          <w:p>
            <w:pPr>
              <w:pStyle w:val="Compact"/>
              <w:jc w:val="left"/>
            </w:pPr>
            <w:r>
              <w:t xml:space="preserve">334</w:t>
            </w:r>
          </w:p>
        </w:tc>
      </w:tr>
      <w:tr>
        <w:tc>
          <w:tcPr/>
          <w:p>
            <w:pPr>
              <w:pStyle w:val="Compact"/>
              <w:jc w:val="left"/>
            </w:pPr>
            <w:r>
              <w:t xml:space="preserve">Value added($M.)</w:t>
            </w:r>
          </w:p>
        </w:tc>
        <w:tc>
          <w:tcPr/>
          <w:p>
            <w:pPr>
              <w:pStyle w:val="Compact"/>
              <w:jc w:val="left"/>
            </w:pPr>
            <w:r>
              <w:t xml:space="preserve">18.85</w:t>
            </w:r>
          </w:p>
        </w:tc>
        <w:tc>
          <w:tcPr/>
          <w:p>
            <w:pPr>
              <w:pStyle w:val="Compact"/>
              <w:jc w:val="left"/>
            </w:pPr>
            <w:r>
              <w:t xml:space="preserve">4.07</w:t>
            </w:r>
          </w:p>
        </w:tc>
        <w:tc>
          <w:tcPr/>
          <w:p>
            <w:pPr>
              <w:pStyle w:val="Compact"/>
              <w:jc w:val="left"/>
            </w:pPr>
            <w:r>
              <w:t xml:space="preserve">5.01</w:t>
            </w:r>
          </w:p>
        </w:tc>
        <w:tc>
          <w:tcPr/>
          <w:p>
            <w:pPr>
              <w:pStyle w:val="Compact"/>
              <w:jc w:val="left"/>
            </w:pPr>
            <w:r>
              <w:t xml:space="preserve">27.92</w:t>
            </w:r>
          </w:p>
        </w:tc>
      </w:tr>
      <w:tr>
        <w:tc>
          <w:tcPr/>
          <w:p>
            <w:pPr>
              <w:pStyle w:val="Compact"/>
              <w:jc w:val="left"/>
            </w:pPr>
            <w:r>
              <w:t xml:space="preserve">Labor Income($M.)</w:t>
            </w:r>
          </w:p>
        </w:tc>
        <w:tc>
          <w:tcPr/>
          <w:p>
            <w:pPr>
              <w:pStyle w:val="Compact"/>
              <w:jc w:val="left"/>
            </w:pPr>
            <w:r>
              <w:t xml:space="preserve">12.1</w:t>
            </w:r>
          </w:p>
        </w:tc>
        <w:tc>
          <w:tcPr/>
          <w:p>
            <w:pPr>
              <w:pStyle w:val="Compact"/>
              <w:jc w:val="left"/>
            </w:pPr>
            <w:r>
              <w:t xml:space="preserve">2.99</w:t>
            </w:r>
          </w:p>
        </w:tc>
        <w:tc>
          <w:tcPr/>
          <w:p>
            <w:pPr>
              <w:pStyle w:val="Compact"/>
              <w:jc w:val="left"/>
            </w:pPr>
            <w:r>
              <w:t xml:space="preserve">2.38</w:t>
            </w:r>
          </w:p>
        </w:tc>
        <w:tc>
          <w:tcPr/>
          <w:p>
            <w:pPr>
              <w:pStyle w:val="Compact"/>
              <w:jc w:val="left"/>
            </w:pPr>
            <w:r>
              <w:t xml:space="preserve">17.47</w:t>
            </w:r>
          </w:p>
        </w:tc>
      </w:tr>
      <w:tr>
        <w:tc>
          <w:tcPr/>
          <w:p>
            <w:pPr>
              <w:pStyle w:val="Compact"/>
              <w:jc w:val="left"/>
            </w:pPr>
            <w:r>
              <w:t xml:space="preserve">Other Property Income($M.)</w:t>
            </w:r>
          </w:p>
        </w:tc>
        <w:tc>
          <w:tcPr/>
          <w:p>
            <w:pPr>
              <w:pStyle w:val="Compact"/>
              <w:jc w:val="left"/>
            </w:pPr>
            <w:r>
              <w:t xml:space="preserve">3.83</w:t>
            </w:r>
          </w:p>
        </w:tc>
        <w:tc>
          <w:tcPr/>
          <w:p>
            <w:pPr>
              <w:pStyle w:val="Compact"/>
              <w:jc w:val="left"/>
            </w:pPr>
            <w:r>
              <w:t xml:space="preserve">0.87</w:t>
            </w:r>
          </w:p>
        </w:tc>
        <w:tc>
          <w:tcPr/>
          <w:p>
            <w:pPr>
              <w:pStyle w:val="Compact"/>
              <w:jc w:val="left"/>
            </w:pPr>
            <w:r>
              <w:t xml:space="preserve">2.12</w:t>
            </w:r>
          </w:p>
        </w:tc>
        <w:tc>
          <w:tcPr/>
          <w:p>
            <w:pPr>
              <w:pStyle w:val="Compact"/>
              <w:jc w:val="left"/>
            </w:pPr>
            <w:r>
              <w:t xml:space="preserve">6.81</w:t>
            </w:r>
          </w:p>
        </w:tc>
      </w:tr>
      <w:tr>
        <w:tc>
          <w:tcPr/>
          <w:p>
            <w:pPr>
              <w:pStyle w:val="Compact"/>
              <w:jc w:val="left"/>
            </w:pPr>
            <w:r>
              <w:t xml:space="preserve">Indirect Business Tax($M.)</w:t>
            </w:r>
          </w:p>
        </w:tc>
        <w:tc>
          <w:tcPr/>
          <w:p>
            <w:pPr>
              <w:pStyle w:val="Compact"/>
              <w:jc w:val="left"/>
            </w:pPr>
            <w:r>
              <w:t xml:space="preserve">2.92</w:t>
            </w:r>
          </w:p>
        </w:tc>
        <w:tc>
          <w:tcPr/>
          <w:p>
            <w:pPr>
              <w:pStyle w:val="Compact"/>
              <w:jc w:val="left"/>
            </w:pPr>
            <w:r>
              <w:t xml:space="preserve">0.21</w:t>
            </w:r>
          </w:p>
        </w:tc>
        <w:tc>
          <w:tcPr/>
          <w:p>
            <w:pPr>
              <w:pStyle w:val="Compact"/>
              <w:jc w:val="left"/>
            </w:pPr>
            <w:r>
              <w:t xml:space="preserve">0.51</w:t>
            </w:r>
          </w:p>
        </w:tc>
        <w:tc>
          <w:tcPr/>
          <w:p>
            <w:pPr>
              <w:pStyle w:val="Compact"/>
              <w:jc w:val="left"/>
            </w:pPr>
            <w:r>
              <w:t xml:space="preserve">3.64</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Manatee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Manatee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Manatee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Manatee County.</w:t>
      </w:r>
      <w:r>
        <w:t xml:space="preserve"> </w:t>
      </w:r>
      <w:r>
        <w:t xml:space="preserve">Nonetheless, we believe this report includes the most detailed accounting of the economic contributions associated with marine recreational fishing in Manatee County to date. This information should help inform understanding of this important recreational activity, and may be useful for making decisions that affect recreational fishing opportunities in Manatee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abcollins@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3" Target="mailto:abcollins@ufl.edu"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7650C7-20C5-4B2D-86F4-3016DB0D1644}"/>
</file>

<file path=customXml/itemProps2.xml><?xml version="1.0" encoding="utf-8"?>
<ds:datastoreItem xmlns:ds="http://schemas.openxmlformats.org/officeDocument/2006/customXml" ds:itemID="{2BC71E54-DC79-4FF7-A8B1-4BD00B9F8746}"/>
</file>

<file path=customXml/itemProps3.xml><?xml version="1.0" encoding="utf-8"?>
<ds:datastoreItem xmlns:ds="http://schemas.openxmlformats.org/officeDocument/2006/customXml" ds:itemID="{E9C6E9FB-76AD-419D-973C-DA54BEAC67E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Manatee County</dc:title>
  <dc:creator>A data report for the Manatee County Tourist Development Council, Chamber of Commerce, and Board of County Commissioners and the Anna Maria Island Chamber of Commerce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Angela Collins IFAS Assistant Extension Scientist abcollins@ufl.edu</dc:creator>
  <cp:keywords/>
  <dcterms:created xsi:type="dcterms:W3CDTF">2025-03-20T13:32:08Z</dcterms:created>
  <dcterms:modified xsi:type="dcterms:W3CDTF">2025-03-20T13:32:08Z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