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Martin County</w:t>
      </w:r>
    </w:p>
    <w:p>
      <w:pPr>
        <w:pStyle w:val="Author"/>
      </w:pPr>
      <w:r>
        <w:t xml:space="preserve">Prepared for the Martin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Vincent Encomio, Florida Sea Grant Extension Agent Martin and St. Lucie Counties.</w:t>
      </w:r>
      <w:r>
        <w:t xml:space="preserve"> </w:t>
      </w:r>
      <w:hyperlink r:id="rId21">
        <w:r>
          <w:rPr>
            <w:rStyle w:val="Hyperlink"/>
          </w:rPr>
          <w:t xml:space="preserve">vencomio@ufl.edu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Martin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Martin County as of 2024. It does not describe its economic value. Still, this summary may help inform discussions and decision making related to policy, management, or environmental changes in or around Martin County that might impact recreational fishing activity, or when discussing similar changes that occur at a regional or state-wide scale but might affect Martin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Martin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Martin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Martin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Martin County is given in the bottom right cell.</w:t>
      </w:r>
    </w:p>
    <w:p>
      <w:pPr>
        <w:pStyle w:val="TableCaption"/>
      </w:pPr>
      <w:r>
        <w:t xml:space="preserve">Martin Marine Rec. Fishing Contribution, Industry Output</w:t>
      </w:r>
    </w:p>
    <w:tbl>
      <w:tblPr>
        <w:tblStyle w:val="Table"/>
        <w:tblW w:type="auto" w:w="0"/>
        <w:tblLook w:firstRow="1" w:lastRow="0" w:firstColumn="0" w:lastColumn="0" w:noHBand="0" w:noVBand="0" w:val="0020"/>
        <w:tblCaption w:val="Martin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35.22</w:t>
            </w:r>
          </w:p>
        </w:tc>
        <w:tc>
          <w:tcPr/>
          <w:p>
            <w:pPr>
              <w:pStyle w:val="Compact"/>
              <w:jc w:val="left"/>
            </w:pPr>
            <w:r>
              <w:t xml:space="preserve">8.6</w:t>
            </w:r>
          </w:p>
        </w:tc>
        <w:tc>
          <w:tcPr/>
          <w:p>
            <w:pPr>
              <w:pStyle w:val="Compact"/>
              <w:jc w:val="left"/>
            </w:pPr>
            <w:r>
              <w:t xml:space="preserve">4.24</w:t>
            </w:r>
          </w:p>
        </w:tc>
        <w:tc>
          <w:tcPr/>
          <w:p>
            <w:pPr>
              <w:pStyle w:val="Compact"/>
              <w:jc w:val="left"/>
            </w:pPr>
            <w:r>
              <w:t xml:space="preserve">48.05</w:t>
            </w:r>
          </w:p>
        </w:tc>
      </w:tr>
      <w:tr>
        <w:tc>
          <w:tcPr/>
          <w:p>
            <w:pPr>
              <w:pStyle w:val="Compact"/>
              <w:jc w:val="left"/>
            </w:pPr>
            <w:r>
              <w:t xml:space="preserve">For-hire</w:t>
            </w:r>
          </w:p>
        </w:tc>
        <w:tc>
          <w:tcPr/>
          <w:p>
            <w:pPr>
              <w:pStyle w:val="Compact"/>
              <w:jc w:val="left"/>
            </w:pPr>
            <w:r>
              <w:t xml:space="preserve">8.02</w:t>
            </w:r>
          </w:p>
        </w:tc>
        <w:tc>
          <w:tcPr/>
          <w:p>
            <w:pPr>
              <w:pStyle w:val="Compact"/>
              <w:jc w:val="left"/>
            </w:pPr>
            <w:r>
              <w:t xml:space="preserve">1.37</w:t>
            </w:r>
          </w:p>
        </w:tc>
        <w:tc>
          <w:tcPr/>
          <w:p>
            <w:pPr>
              <w:pStyle w:val="Compact"/>
              <w:jc w:val="left"/>
            </w:pPr>
            <w:r>
              <w:t xml:space="preserve">1.76</w:t>
            </w:r>
          </w:p>
        </w:tc>
        <w:tc>
          <w:tcPr/>
          <w:p>
            <w:pPr>
              <w:pStyle w:val="Compact"/>
              <w:jc w:val="left"/>
            </w:pPr>
            <w:r>
              <w:t xml:space="preserve">11.15</w:t>
            </w:r>
          </w:p>
        </w:tc>
      </w:tr>
      <w:tr>
        <w:tc>
          <w:tcPr/>
          <w:p>
            <w:pPr>
              <w:pStyle w:val="Compact"/>
              <w:jc w:val="left"/>
            </w:pPr>
            <w:r>
              <w:t xml:space="preserve">Private Vessel</w:t>
            </w:r>
          </w:p>
        </w:tc>
        <w:tc>
          <w:tcPr/>
          <w:p>
            <w:pPr>
              <w:pStyle w:val="Compact"/>
              <w:jc w:val="left"/>
            </w:pPr>
            <w:r>
              <w:t xml:space="preserve">42.09</w:t>
            </w:r>
          </w:p>
        </w:tc>
        <w:tc>
          <w:tcPr/>
          <w:p>
            <w:pPr>
              <w:pStyle w:val="Compact"/>
              <w:jc w:val="left"/>
            </w:pPr>
            <w:r>
              <w:t xml:space="preserve">9.66</w:t>
            </w:r>
          </w:p>
        </w:tc>
        <w:tc>
          <w:tcPr/>
          <w:p>
            <w:pPr>
              <w:pStyle w:val="Compact"/>
              <w:jc w:val="left"/>
            </w:pPr>
            <w:r>
              <w:t xml:space="preserve">6.44</w:t>
            </w:r>
          </w:p>
        </w:tc>
        <w:tc>
          <w:tcPr/>
          <w:p>
            <w:pPr>
              <w:pStyle w:val="Compact"/>
              <w:jc w:val="left"/>
            </w:pPr>
            <w:r>
              <w:t xml:space="preserve">58.2</w:t>
            </w:r>
          </w:p>
        </w:tc>
      </w:tr>
      <w:tr>
        <w:tc>
          <w:tcPr/>
          <w:p>
            <w:pPr>
              <w:pStyle w:val="Compact"/>
              <w:jc w:val="left"/>
            </w:pPr>
            <w:r>
              <w:t xml:space="preserve">All Mar. Rec. Fishing</w:t>
            </w:r>
          </w:p>
        </w:tc>
        <w:tc>
          <w:tcPr/>
          <w:p>
            <w:pPr>
              <w:pStyle w:val="Compact"/>
              <w:jc w:val="left"/>
            </w:pPr>
            <w:r>
              <w:t xml:space="preserve">85.33</w:t>
            </w:r>
          </w:p>
        </w:tc>
        <w:tc>
          <w:tcPr/>
          <w:p>
            <w:pPr>
              <w:pStyle w:val="Compact"/>
              <w:jc w:val="left"/>
            </w:pPr>
            <w:r>
              <w:t xml:space="preserve">19.63</w:t>
            </w:r>
          </w:p>
        </w:tc>
        <w:tc>
          <w:tcPr/>
          <w:p>
            <w:pPr>
              <w:pStyle w:val="Compact"/>
              <w:jc w:val="left"/>
            </w:pPr>
            <w:r>
              <w:t xml:space="preserve">12.44</w:t>
            </w:r>
          </w:p>
        </w:tc>
        <w:tc>
          <w:tcPr/>
          <w:p>
            <w:pPr>
              <w:pStyle w:val="Compact"/>
              <w:jc w:val="left"/>
            </w:pPr>
            <w:r>
              <w:t xml:space="preserve">117.4</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Martin County is given in the bottom right cell.</w:t>
      </w:r>
    </w:p>
    <w:p>
      <w:pPr>
        <w:pStyle w:val="TableCaption"/>
      </w:pPr>
      <w:r>
        <w:t xml:space="preserve">Martin Marine Rec. Fishing Contribution, Employment</w:t>
      </w:r>
    </w:p>
    <w:tbl>
      <w:tblPr>
        <w:tblStyle w:val="Table"/>
        <w:tblW w:type="auto" w:w="0"/>
        <w:tblLook w:firstRow="1" w:lastRow="0" w:firstColumn="0" w:lastColumn="0" w:noHBand="0" w:noVBand="0" w:val="0020"/>
        <w:tblCaption w:val="Martin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354</w:t>
            </w:r>
          </w:p>
        </w:tc>
        <w:tc>
          <w:tcPr/>
          <w:p>
            <w:pPr>
              <w:pStyle w:val="Compact"/>
              <w:jc w:val="left"/>
            </w:pPr>
            <w:r>
              <w:t xml:space="preserve">53</w:t>
            </w:r>
          </w:p>
        </w:tc>
        <w:tc>
          <w:tcPr/>
          <w:p>
            <w:pPr>
              <w:pStyle w:val="Compact"/>
              <w:jc w:val="left"/>
            </w:pPr>
            <w:r>
              <w:t xml:space="preserve">25</w:t>
            </w:r>
          </w:p>
        </w:tc>
        <w:tc>
          <w:tcPr/>
          <w:p>
            <w:pPr>
              <w:pStyle w:val="Compact"/>
              <w:jc w:val="left"/>
            </w:pPr>
            <w:r>
              <w:t xml:space="preserve">431</w:t>
            </w:r>
          </w:p>
        </w:tc>
      </w:tr>
      <w:tr>
        <w:tc>
          <w:tcPr/>
          <w:p>
            <w:pPr>
              <w:pStyle w:val="Compact"/>
              <w:jc w:val="left"/>
            </w:pPr>
            <w:r>
              <w:t xml:space="preserve">For-hire</w:t>
            </w:r>
          </w:p>
        </w:tc>
        <w:tc>
          <w:tcPr/>
          <w:p>
            <w:pPr>
              <w:pStyle w:val="Compact"/>
              <w:jc w:val="left"/>
            </w:pPr>
            <w:r>
              <w:t xml:space="preserve">81</w:t>
            </w:r>
          </w:p>
        </w:tc>
        <w:tc>
          <w:tcPr/>
          <w:p>
            <w:pPr>
              <w:pStyle w:val="Compact"/>
              <w:jc w:val="left"/>
            </w:pPr>
            <w:r>
              <w:t xml:space="preserve">9</w:t>
            </w:r>
          </w:p>
        </w:tc>
        <w:tc>
          <w:tcPr/>
          <w:p>
            <w:pPr>
              <w:pStyle w:val="Compact"/>
              <w:jc w:val="left"/>
            </w:pPr>
            <w:r>
              <w:t xml:space="preserve">10</w:t>
            </w:r>
          </w:p>
        </w:tc>
        <w:tc>
          <w:tcPr/>
          <w:p>
            <w:pPr>
              <w:pStyle w:val="Compact"/>
              <w:jc w:val="left"/>
            </w:pPr>
            <w:r>
              <w:t xml:space="preserve">100</w:t>
            </w:r>
          </w:p>
        </w:tc>
      </w:tr>
      <w:tr>
        <w:tc>
          <w:tcPr/>
          <w:p>
            <w:pPr>
              <w:pStyle w:val="Compact"/>
              <w:jc w:val="left"/>
            </w:pPr>
            <w:r>
              <w:t xml:space="preserve">Private Vessel</w:t>
            </w:r>
          </w:p>
        </w:tc>
        <w:tc>
          <w:tcPr/>
          <w:p>
            <w:pPr>
              <w:pStyle w:val="Compact"/>
              <w:jc w:val="left"/>
            </w:pPr>
            <w:r>
              <w:t xml:space="preserve">330</w:t>
            </w:r>
          </w:p>
        </w:tc>
        <w:tc>
          <w:tcPr/>
          <w:p>
            <w:pPr>
              <w:pStyle w:val="Compact"/>
              <w:jc w:val="left"/>
            </w:pPr>
            <w:r>
              <w:t xml:space="preserve">59</w:t>
            </w:r>
          </w:p>
        </w:tc>
        <w:tc>
          <w:tcPr/>
          <w:p>
            <w:pPr>
              <w:pStyle w:val="Compact"/>
              <w:jc w:val="left"/>
            </w:pPr>
            <w:r>
              <w:t xml:space="preserve">38</w:t>
            </w:r>
          </w:p>
        </w:tc>
        <w:tc>
          <w:tcPr/>
          <w:p>
            <w:pPr>
              <w:pStyle w:val="Compact"/>
              <w:jc w:val="left"/>
            </w:pPr>
            <w:r>
              <w:t xml:space="preserve">427</w:t>
            </w:r>
          </w:p>
        </w:tc>
      </w:tr>
      <w:tr>
        <w:tc>
          <w:tcPr/>
          <w:p>
            <w:pPr>
              <w:pStyle w:val="Compact"/>
              <w:jc w:val="left"/>
            </w:pPr>
            <w:r>
              <w:t xml:space="preserve">All Mar. Rec. Fishing</w:t>
            </w:r>
          </w:p>
        </w:tc>
        <w:tc>
          <w:tcPr/>
          <w:p>
            <w:pPr>
              <w:pStyle w:val="Compact"/>
              <w:jc w:val="left"/>
            </w:pPr>
            <w:r>
              <w:t xml:space="preserve">765</w:t>
            </w:r>
          </w:p>
        </w:tc>
        <w:tc>
          <w:tcPr/>
          <w:p>
            <w:pPr>
              <w:pStyle w:val="Compact"/>
              <w:jc w:val="left"/>
            </w:pPr>
            <w:r>
              <w:t xml:space="preserve">121</w:t>
            </w:r>
          </w:p>
        </w:tc>
        <w:tc>
          <w:tcPr/>
          <w:p>
            <w:pPr>
              <w:pStyle w:val="Compact"/>
              <w:jc w:val="left"/>
            </w:pPr>
            <w:r>
              <w:t xml:space="preserve">73</w:t>
            </w:r>
          </w:p>
        </w:tc>
        <w:tc>
          <w:tcPr/>
          <w:p>
            <w:pPr>
              <w:pStyle w:val="Compact"/>
              <w:jc w:val="left"/>
            </w:pPr>
            <w:r>
              <w:t xml:space="preserve">958</w:t>
            </w:r>
          </w:p>
        </w:tc>
      </w:tr>
    </w:tbl>
    <w:bookmarkEnd w:id="24"/>
    <w:bookmarkStart w:id="25" w:name="summary"/>
    <w:p>
      <w:pPr>
        <w:pStyle w:val="Heading3"/>
      </w:pPr>
      <w:r>
        <w:t xml:space="preserve">Summary</w:t>
      </w:r>
    </w:p>
    <w:p>
      <w:pPr>
        <w:pStyle w:val="FirstParagraph"/>
      </w:pPr>
      <w:r>
        <w:t xml:space="preserve">This summary shows that marine recreational fishing in Martin County contributed $117.4M and 958 jobs to the Martin County economy in 2024. Again, it is critical to understand that this is not economic value, but nonetheless should be helpful for understanding the economic importance of marine recreational fishing to Martin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vencomio@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8AC179-6629-4B3E-B045-F9CFCF90F0BB}"/>
</file>

<file path=customXml/itemProps2.xml><?xml version="1.0" encoding="utf-8"?>
<ds:datastoreItem xmlns:ds="http://schemas.openxmlformats.org/officeDocument/2006/customXml" ds:itemID="{3DEAFDD8-DCBA-47F2-A0C9-A5FAF740F5E7}"/>
</file>

<file path=customXml/itemProps3.xml><?xml version="1.0" encoding="utf-8"?>
<ds:datastoreItem xmlns:ds="http://schemas.openxmlformats.org/officeDocument/2006/customXml" ds:itemID="{BBAAEA1C-905E-48B6-87A5-A3627BD18D9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Martin County</dc:title>
  <dc:creator>Prepared for the Martin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Vincent Encomio, Florida Sea Grant Extension Agent Martin and St. Lucie Counties. vencomio@ufl.edu</dc:creator>
  <cp:keywords/>
  <dcterms:created xsi:type="dcterms:W3CDTF">2025-03-19T19:28:51Z</dcterms:created>
  <dcterms:modified xsi:type="dcterms:W3CDTF">2025-03-19T19:28:51Z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