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Miami-Dade County</w:t>
      </w:r>
    </w:p>
    <w:p>
      <w:pPr>
        <w:pStyle w:val="Author"/>
      </w:pPr>
      <w:r>
        <w:t xml:space="preserve">Prepared for the Miami-Dade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Ana Zangroniz, Florida Sea Grant Extension Agent Miami-Dade County.</w:t>
      </w:r>
      <w:r>
        <w:t xml:space="preserve"> </w:t>
      </w:r>
      <w:hyperlink r:id="rId21">
        <w:r>
          <w:rPr>
            <w:rStyle w:val="Hyperlink"/>
          </w:rPr>
          <w:t xml:space="preserve">azangroniz@ufl.edu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Miami-Dade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Miami-Dade County as of 2024. It does not describe its economic value. Still, this summary may help inform discussions and decision making related to policy, management, or environmental changes in or around Miami-Dade County that might impact recreational fishing activity, or when discussing similar changes that occur at a regional or state-wide scale but might affect Miami-Dade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Miami-Dade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Miami-Dade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Miami-Dade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Miami-Dade County is given in the bottom right cell.</w:t>
      </w:r>
    </w:p>
    <w:p>
      <w:pPr>
        <w:pStyle w:val="TableCaption"/>
      </w:pPr>
      <w:r>
        <w:t xml:space="preserve">Miami-Dade Marine Rec. Fishing Contribution, Industry Output</w:t>
      </w:r>
    </w:p>
    <w:tbl>
      <w:tblPr>
        <w:tblStyle w:val="Table"/>
        <w:tblW w:type="auto" w:w="0"/>
        <w:tblLook w:firstRow="1" w:lastRow="0" w:firstColumn="0" w:lastColumn="0" w:noHBand="0" w:noVBand="0" w:val="0020"/>
        <w:tblCaption w:val="Miami-Dad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24.87</w:t>
            </w:r>
          </w:p>
        </w:tc>
        <w:tc>
          <w:tcPr/>
          <w:p>
            <w:pPr>
              <w:pStyle w:val="Compact"/>
              <w:jc w:val="left"/>
            </w:pPr>
            <w:r>
              <w:t xml:space="preserve">10.07</w:t>
            </w:r>
          </w:p>
        </w:tc>
        <w:tc>
          <w:tcPr/>
          <w:p>
            <w:pPr>
              <w:pStyle w:val="Compact"/>
              <w:jc w:val="left"/>
            </w:pPr>
            <w:r>
              <w:t xml:space="preserve">7.75</w:t>
            </w:r>
          </w:p>
        </w:tc>
        <w:tc>
          <w:tcPr/>
          <w:p>
            <w:pPr>
              <w:pStyle w:val="Compact"/>
              <w:jc w:val="left"/>
            </w:pPr>
            <w:r>
              <w:t xml:space="preserve">42.69</w:t>
            </w:r>
          </w:p>
        </w:tc>
      </w:tr>
      <w:tr>
        <w:tc>
          <w:tcPr/>
          <w:p>
            <w:pPr>
              <w:pStyle w:val="Compact"/>
              <w:jc w:val="left"/>
            </w:pPr>
            <w:r>
              <w:t xml:space="preserve">For-hire</w:t>
            </w:r>
          </w:p>
        </w:tc>
        <w:tc>
          <w:tcPr/>
          <w:p>
            <w:pPr>
              <w:pStyle w:val="Compact"/>
              <w:jc w:val="left"/>
            </w:pPr>
            <w:r>
              <w:t xml:space="preserve">15.92</w:t>
            </w:r>
          </w:p>
        </w:tc>
        <w:tc>
          <w:tcPr/>
          <w:p>
            <w:pPr>
              <w:pStyle w:val="Compact"/>
              <w:jc w:val="left"/>
            </w:pPr>
            <w:r>
              <w:t xml:space="preserve">4.46</w:t>
            </w:r>
          </w:p>
        </w:tc>
        <w:tc>
          <w:tcPr/>
          <w:p>
            <w:pPr>
              <w:pStyle w:val="Compact"/>
              <w:jc w:val="left"/>
            </w:pPr>
            <w:r>
              <w:t xml:space="preserve">8.99</w:t>
            </w:r>
          </w:p>
        </w:tc>
        <w:tc>
          <w:tcPr/>
          <w:p>
            <w:pPr>
              <w:pStyle w:val="Compact"/>
              <w:jc w:val="left"/>
            </w:pPr>
            <w:r>
              <w:t xml:space="preserve">29.37</w:t>
            </w:r>
          </w:p>
        </w:tc>
      </w:tr>
      <w:tr>
        <w:tc>
          <w:tcPr/>
          <w:p>
            <w:pPr>
              <w:pStyle w:val="Compact"/>
              <w:jc w:val="left"/>
            </w:pPr>
            <w:r>
              <w:t xml:space="preserve">Private Vessel</w:t>
            </w:r>
          </w:p>
        </w:tc>
        <w:tc>
          <w:tcPr/>
          <w:p>
            <w:pPr>
              <w:pStyle w:val="Compact"/>
              <w:jc w:val="left"/>
            </w:pPr>
            <w:r>
              <w:t xml:space="preserve">34.72</w:t>
            </w:r>
          </w:p>
        </w:tc>
        <w:tc>
          <w:tcPr/>
          <w:p>
            <w:pPr>
              <w:pStyle w:val="Compact"/>
              <w:jc w:val="left"/>
            </w:pPr>
            <w:r>
              <w:t xml:space="preserve">15.47</w:t>
            </w:r>
          </w:p>
        </w:tc>
        <w:tc>
          <w:tcPr/>
          <w:p>
            <w:pPr>
              <w:pStyle w:val="Compact"/>
              <w:jc w:val="left"/>
            </w:pPr>
            <w:r>
              <w:t xml:space="preserve">11.11</w:t>
            </w:r>
          </w:p>
        </w:tc>
        <w:tc>
          <w:tcPr/>
          <w:p>
            <w:pPr>
              <w:pStyle w:val="Compact"/>
              <w:jc w:val="left"/>
            </w:pPr>
            <w:r>
              <w:t xml:space="preserve">61.29</w:t>
            </w:r>
          </w:p>
        </w:tc>
      </w:tr>
      <w:tr>
        <w:tc>
          <w:tcPr/>
          <w:p>
            <w:pPr>
              <w:pStyle w:val="Compact"/>
              <w:jc w:val="left"/>
            </w:pPr>
            <w:r>
              <w:t xml:space="preserve">All Mar. Rec. Fishing</w:t>
            </w:r>
          </w:p>
        </w:tc>
        <w:tc>
          <w:tcPr/>
          <w:p>
            <w:pPr>
              <w:pStyle w:val="Compact"/>
              <w:jc w:val="left"/>
            </w:pPr>
            <w:r>
              <w:t xml:space="preserve">75.51</w:t>
            </w:r>
          </w:p>
        </w:tc>
        <w:tc>
          <w:tcPr/>
          <w:p>
            <w:pPr>
              <w:pStyle w:val="Compact"/>
              <w:jc w:val="left"/>
            </w:pPr>
            <w:r>
              <w:t xml:space="preserve">30</w:t>
            </w:r>
          </w:p>
        </w:tc>
        <w:tc>
          <w:tcPr/>
          <w:p>
            <w:pPr>
              <w:pStyle w:val="Compact"/>
              <w:jc w:val="left"/>
            </w:pPr>
            <w:r>
              <w:t xml:space="preserve">27.85</w:t>
            </w:r>
          </w:p>
        </w:tc>
        <w:tc>
          <w:tcPr/>
          <w:p>
            <w:pPr>
              <w:pStyle w:val="Compact"/>
              <w:jc w:val="left"/>
            </w:pPr>
            <w:r>
              <w:t xml:space="preserve">133.35</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Miami-Dade County is given in the bottom right cell.</w:t>
      </w:r>
    </w:p>
    <w:p>
      <w:pPr>
        <w:pStyle w:val="TableCaption"/>
      </w:pPr>
      <w:r>
        <w:t xml:space="preserve">Miami-Dade Marine Rec. Fishing Contribution, Employment</w:t>
      </w:r>
    </w:p>
    <w:tbl>
      <w:tblPr>
        <w:tblStyle w:val="Table"/>
        <w:tblW w:type="auto" w:w="0"/>
        <w:tblLook w:firstRow="1" w:lastRow="0" w:firstColumn="0" w:lastColumn="0" w:noHBand="0" w:noVBand="0" w:val="0020"/>
        <w:tblCaption w:val="Miami-Dad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259</w:t>
            </w:r>
          </w:p>
        </w:tc>
        <w:tc>
          <w:tcPr/>
          <w:p>
            <w:pPr>
              <w:pStyle w:val="Compact"/>
              <w:jc w:val="left"/>
            </w:pPr>
            <w:r>
              <w:t xml:space="preserve">56</w:t>
            </w:r>
          </w:p>
        </w:tc>
        <w:tc>
          <w:tcPr/>
          <w:p>
            <w:pPr>
              <w:pStyle w:val="Compact"/>
              <w:jc w:val="left"/>
            </w:pPr>
            <w:r>
              <w:t xml:space="preserve">44</w:t>
            </w:r>
          </w:p>
        </w:tc>
        <w:tc>
          <w:tcPr/>
          <w:p>
            <w:pPr>
              <w:pStyle w:val="Compact"/>
              <w:jc w:val="left"/>
            </w:pPr>
            <w:r>
              <w:t xml:space="preserve">359</w:t>
            </w:r>
          </w:p>
        </w:tc>
      </w:tr>
      <w:tr>
        <w:tc>
          <w:tcPr/>
          <w:p>
            <w:pPr>
              <w:pStyle w:val="Compact"/>
              <w:jc w:val="left"/>
            </w:pPr>
            <w:r>
              <w:t xml:space="preserve">For-hire</w:t>
            </w:r>
          </w:p>
        </w:tc>
        <w:tc>
          <w:tcPr/>
          <w:p>
            <w:pPr>
              <w:pStyle w:val="Compact"/>
              <w:jc w:val="left"/>
            </w:pPr>
            <w:r>
              <w:t xml:space="preserve">166</w:t>
            </w:r>
          </w:p>
        </w:tc>
        <w:tc>
          <w:tcPr/>
          <w:p>
            <w:pPr>
              <w:pStyle w:val="Compact"/>
              <w:jc w:val="left"/>
            </w:pPr>
            <w:r>
              <w:t xml:space="preserve">30</w:t>
            </w:r>
          </w:p>
        </w:tc>
        <w:tc>
          <w:tcPr/>
          <w:p>
            <w:pPr>
              <w:pStyle w:val="Compact"/>
              <w:jc w:val="left"/>
            </w:pPr>
            <w:r>
              <w:t xml:space="preserve">51</w:t>
            </w:r>
          </w:p>
        </w:tc>
        <w:tc>
          <w:tcPr/>
          <w:p>
            <w:pPr>
              <w:pStyle w:val="Compact"/>
              <w:jc w:val="left"/>
            </w:pPr>
            <w:r>
              <w:t xml:space="preserve">247</w:t>
            </w:r>
          </w:p>
        </w:tc>
      </w:tr>
      <w:tr>
        <w:tc>
          <w:tcPr/>
          <w:p>
            <w:pPr>
              <w:pStyle w:val="Compact"/>
              <w:jc w:val="left"/>
            </w:pPr>
            <w:r>
              <w:t xml:space="preserve">Private Vessel</w:t>
            </w:r>
          </w:p>
        </w:tc>
        <w:tc>
          <w:tcPr/>
          <w:p>
            <w:pPr>
              <w:pStyle w:val="Compact"/>
              <w:jc w:val="left"/>
            </w:pPr>
            <w:r>
              <w:t xml:space="preserve">314</w:t>
            </w:r>
          </w:p>
        </w:tc>
        <w:tc>
          <w:tcPr/>
          <w:p>
            <w:pPr>
              <w:pStyle w:val="Compact"/>
              <w:jc w:val="left"/>
            </w:pPr>
            <w:r>
              <w:t xml:space="preserve">94</w:t>
            </w:r>
          </w:p>
        </w:tc>
        <w:tc>
          <w:tcPr/>
          <w:p>
            <w:pPr>
              <w:pStyle w:val="Compact"/>
              <w:jc w:val="left"/>
            </w:pPr>
            <w:r>
              <w:t xml:space="preserve">63</w:t>
            </w:r>
          </w:p>
        </w:tc>
        <w:tc>
          <w:tcPr/>
          <w:p>
            <w:pPr>
              <w:pStyle w:val="Compact"/>
              <w:jc w:val="left"/>
            </w:pPr>
            <w:r>
              <w:t xml:space="preserve">470</w:t>
            </w:r>
          </w:p>
        </w:tc>
      </w:tr>
      <w:tr>
        <w:tc>
          <w:tcPr/>
          <w:p>
            <w:pPr>
              <w:pStyle w:val="Compact"/>
              <w:jc w:val="left"/>
            </w:pPr>
            <w:r>
              <w:t xml:space="preserve">All Mar. Rec. Fishing</w:t>
            </w:r>
          </w:p>
        </w:tc>
        <w:tc>
          <w:tcPr/>
          <w:p>
            <w:pPr>
              <w:pStyle w:val="Compact"/>
              <w:jc w:val="left"/>
            </w:pPr>
            <w:r>
              <w:t xml:space="preserve">739</w:t>
            </w:r>
          </w:p>
        </w:tc>
        <w:tc>
          <w:tcPr/>
          <w:p>
            <w:pPr>
              <w:pStyle w:val="Compact"/>
              <w:jc w:val="left"/>
            </w:pPr>
            <w:r>
              <w:t xml:space="preserve">180</w:t>
            </w:r>
          </w:p>
        </w:tc>
        <w:tc>
          <w:tcPr/>
          <w:p>
            <w:pPr>
              <w:pStyle w:val="Compact"/>
              <w:jc w:val="left"/>
            </w:pPr>
            <w:r>
              <w:t xml:space="preserve">158</w:t>
            </w:r>
          </w:p>
        </w:tc>
        <w:tc>
          <w:tcPr/>
          <w:p>
            <w:pPr>
              <w:pStyle w:val="Compact"/>
              <w:jc w:val="left"/>
            </w:pPr>
            <w:r>
              <w:t xml:space="preserve">1076</w:t>
            </w:r>
          </w:p>
        </w:tc>
      </w:tr>
    </w:tbl>
    <w:bookmarkEnd w:id="24"/>
    <w:bookmarkStart w:id="25" w:name="summary"/>
    <w:p>
      <w:pPr>
        <w:pStyle w:val="Heading3"/>
      </w:pPr>
      <w:r>
        <w:t xml:space="preserve">Summary</w:t>
      </w:r>
    </w:p>
    <w:p>
      <w:pPr>
        <w:pStyle w:val="FirstParagraph"/>
      </w:pPr>
      <w:r>
        <w:t xml:space="preserve">This summary shows that marine recreational fishing in Miami-Dade County contributed $133.35M and 1076 jobs to the Miami-Dade County economy in 2024. Again, it is critical to understand that this is not economic value, but nonetheless should be helpful for understanding the economic importance of marine recreational fishing to Miami-Dade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zangroniz@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64208B-C870-4A87-9513-80A3F568D0CC}"/>
</file>

<file path=customXml/itemProps2.xml><?xml version="1.0" encoding="utf-8"?>
<ds:datastoreItem xmlns:ds="http://schemas.openxmlformats.org/officeDocument/2006/customXml" ds:itemID="{BD1BDB0D-1286-4D31-9F17-9096A8015703}"/>
</file>

<file path=customXml/itemProps3.xml><?xml version="1.0" encoding="utf-8"?>
<ds:datastoreItem xmlns:ds="http://schemas.openxmlformats.org/officeDocument/2006/customXml" ds:itemID="{DFD989DF-3586-4297-B073-16E9CF1E2AA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Miami-Dade County</dc:title>
  <dc:creator>Prepared for the Miami-Dade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Ana Zangroniz, Florida Sea Grant Extension Agent Miami-Dade County. azangroniz@ufl.edu</dc:creator>
  <cp:keywords/>
  <dcterms:created xsi:type="dcterms:W3CDTF">2025-03-19T19:29:21Z</dcterms:created>
  <dcterms:modified xsi:type="dcterms:W3CDTF">2025-03-19T19:29:21Z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