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Monroe County</w:t>
      </w:r>
    </w:p>
    <w:p>
      <w:pPr>
        <w:pStyle w:val="Author"/>
      </w:pPr>
      <w:r>
        <w:t xml:space="preserve">Prepared for the Monroe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Shelly Krueger, Florida Sea Grant Agent Monroe County.</w:t>
      </w:r>
      <w:r>
        <w:t xml:space="preserve"> </w:t>
      </w:r>
      <w:hyperlink r:id="rId21">
        <w:r>
          <w:rPr>
            <w:rStyle w:val="Hyperlink"/>
          </w:rPr>
          <w:t xml:space="preserve">shellykrueger@ufl.edu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Monroe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Monroe County as of 2024. It does not describe its economic value. Still, this summary may help inform discussions and decision making related to policy, management, or environmental changes in or around Monroe County that might impact recreational fishing activity, or when discussing similar changes that occur at a regional or state-wide scale but might affect Monroe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Monroe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Monroe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Monroe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Monroe County is given in the bottom right cell.</w:t>
      </w:r>
    </w:p>
    <w:p>
      <w:pPr>
        <w:pStyle w:val="TableCaption"/>
      </w:pPr>
      <w:r>
        <w:t xml:space="preserve">Monroe Marine Rec. Fishing Contribution, Industry Output</w:t>
      </w:r>
    </w:p>
    <w:tbl>
      <w:tblPr>
        <w:tblStyle w:val="Table"/>
        <w:tblW w:type="auto" w:w="0"/>
        <w:tblLook w:firstRow="1" w:lastRow="0" w:firstColumn="0" w:lastColumn="0" w:noHBand="0" w:noVBand="0" w:val="0020"/>
        <w:tblCaption w:val="Monroe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104.76</w:t>
            </w:r>
          </w:p>
        </w:tc>
        <w:tc>
          <w:tcPr/>
          <w:p>
            <w:pPr>
              <w:pStyle w:val="Compact"/>
              <w:jc w:val="left"/>
            </w:pPr>
            <w:r>
              <w:t xml:space="preserve">22.08</w:t>
            </w:r>
          </w:p>
        </w:tc>
        <w:tc>
          <w:tcPr/>
          <w:p>
            <w:pPr>
              <w:pStyle w:val="Compact"/>
              <w:jc w:val="left"/>
            </w:pPr>
            <w:r>
              <w:t xml:space="preserve">15.46</w:t>
            </w:r>
          </w:p>
        </w:tc>
        <w:tc>
          <w:tcPr/>
          <w:p>
            <w:pPr>
              <w:pStyle w:val="Compact"/>
              <w:jc w:val="left"/>
            </w:pPr>
            <w:r>
              <w:t xml:space="preserve">142.31</w:t>
            </w:r>
          </w:p>
        </w:tc>
      </w:tr>
      <w:tr>
        <w:tc>
          <w:tcPr/>
          <w:p>
            <w:pPr>
              <w:pStyle w:val="Compact"/>
              <w:jc w:val="left"/>
            </w:pPr>
            <w:r>
              <w:t xml:space="preserve">For-hire</w:t>
            </w:r>
          </w:p>
        </w:tc>
        <w:tc>
          <w:tcPr/>
          <w:p>
            <w:pPr>
              <w:pStyle w:val="Compact"/>
              <w:jc w:val="left"/>
            </w:pPr>
            <w:r>
              <w:t xml:space="preserve">63.98</w:t>
            </w:r>
          </w:p>
        </w:tc>
        <w:tc>
          <w:tcPr/>
          <w:p>
            <w:pPr>
              <w:pStyle w:val="Compact"/>
              <w:jc w:val="left"/>
            </w:pPr>
            <w:r>
              <w:t xml:space="preserve">14.12</w:t>
            </w:r>
          </w:p>
        </w:tc>
        <w:tc>
          <w:tcPr/>
          <w:p>
            <w:pPr>
              <w:pStyle w:val="Compact"/>
              <w:jc w:val="left"/>
            </w:pPr>
            <w:r>
              <w:t xml:space="preserve">15.95</w:t>
            </w:r>
          </w:p>
        </w:tc>
        <w:tc>
          <w:tcPr/>
          <w:p>
            <w:pPr>
              <w:pStyle w:val="Compact"/>
              <w:jc w:val="left"/>
            </w:pPr>
            <w:r>
              <w:t xml:space="preserve">94.06</w:t>
            </w:r>
          </w:p>
        </w:tc>
      </w:tr>
      <w:tr>
        <w:tc>
          <w:tcPr/>
          <w:p>
            <w:pPr>
              <w:pStyle w:val="Compact"/>
              <w:jc w:val="left"/>
            </w:pPr>
            <w:r>
              <w:t xml:space="preserve">Private Vessel</w:t>
            </w:r>
          </w:p>
        </w:tc>
        <w:tc>
          <w:tcPr/>
          <w:p>
            <w:pPr>
              <w:pStyle w:val="Compact"/>
              <w:jc w:val="left"/>
            </w:pPr>
            <w:r>
              <w:t xml:space="preserve">104.12</w:t>
            </w:r>
          </w:p>
        </w:tc>
        <w:tc>
          <w:tcPr/>
          <w:p>
            <w:pPr>
              <w:pStyle w:val="Compact"/>
              <w:jc w:val="left"/>
            </w:pPr>
            <w:r>
              <w:t xml:space="preserve">22.44</w:t>
            </w:r>
          </w:p>
        </w:tc>
        <w:tc>
          <w:tcPr/>
          <w:p>
            <w:pPr>
              <w:pStyle w:val="Compact"/>
              <w:jc w:val="left"/>
            </w:pPr>
            <w:r>
              <w:t xml:space="preserve">16.91</w:t>
            </w:r>
          </w:p>
        </w:tc>
        <w:tc>
          <w:tcPr/>
          <w:p>
            <w:pPr>
              <w:pStyle w:val="Compact"/>
              <w:jc w:val="left"/>
            </w:pPr>
            <w:r>
              <w:t xml:space="preserve">143.47</w:t>
            </w:r>
          </w:p>
        </w:tc>
      </w:tr>
      <w:tr>
        <w:tc>
          <w:tcPr/>
          <w:p>
            <w:pPr>
              <w:pStyle w:val="Compact"/>
              <w:jc w:val="left"/>
            </w:pPr>
            <w:r>
              <w:t xml:space="preserve">All Mar. Rec. Fishing</w:t>
            </w:r>
          </w:p>
        </w:tc>
        <w:tc>
          <w:tcPr/>
          <w:p>
            <w:pPr>
              <w:pStyle w:val="Compact"/>
              <w:jc w:val="left"/>
            </w:pPr>
            <w:r>
              <w:t xml:space="preserve">272.86</w:t>
            </w:r>
          </w:p>
        </w:tc>
        <w:tc>
          <w:tcPr/>
          <w:p>
            <w:pPr>
              <w:pStyle w:val="Compact"/>
              <w:jc w:val="left"/>
            </w:pPr>
            <w:r>
              <w:t xml:space="preserve">58.64</w:t>
            </w:r>
          </w:p>
        </w:tc>
        <w:tc>
          <w:tcPr/>
          <w:p>
            <w:pPr>
              <w:pStyle w:val="Compact"/>
              <w:jc w:val="left"/>
            </w:pPr>
            <w:r>
              <w:t xml:space="preserve">48.32</w:t>
            </w:r>
          </w:p>
        </w:tc>
        <w:tc>
          <w:tcPr/>
          <w:p>
            <w:pPr>
              <w:pStyle w:val="Compact"/>
              <w:jc w:val="left"/>
            </w:pPr>
            <w:r>
              <w:t xml:space="preserve">379.84</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Monroe County is given in the bottom right cell.</w:t>
      </w:r>
    </w:p>
    <w:p>
      <w:pPr>
        <w:pStyle w:val="TableCaption"/>
      </w:pPr>
      <w:r>
        <w:t xml:space="preserve">Monroe Marine Rec. Fishing Contribution, Employment</w:t>
      </w:r>
    </w:p>
    <w:tbl>
      <w:tblPr>
        <w:tblStyle w:val="Table"/>
        <w:tblW w:type="auto" w:w="0"/>
        <w:tblLook w:firstRow="1" w:lastRow="0" w:firstColumn="0" w:lastColumn="0" w:noHBand="0" w:noVBand="0" w:val="0020"/>
        <w:tblCaption w:val="Monroe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939</w:t>
            </w:r>
          </w:p>
        </w:tc>
        <w:tc>
          <w:tcPr/>
          <w:p>
            <w:pPr>
              <w:pStyle w:val="Compact"/>
              <w:jc w:val="left"/>
            </w:pPr>
            <w:r>
              <w:t xml:space="preserve">127</w:t>
            </w:r>
          </w:p>
        </w:tc>
        <w:tc>
          <w:tcPr/>
          <w:p>
            <w:pPr>
              <w:pStyle w:val="Compact"/>
              <w:jc w:val="left"/>
            </w:pPr>
            <w:r>
              <w:t xml:space="preserve">85</w:t>
            </w:r>
          </w:p>
        </w:tc>
        <w:tc>
          <w:tcPr/>
          <w:p>
            <w:pPr>
              <w:pStyle w:val="Compact"/>
              <w:jc w:val="left"/>
            </w:pPr>
            <w:r>
              <w:t xml:space="preserve">1151</w:t>
            </w:r>
          </w:p>
        </w:tc>
      </w:tr>
      <w:tr>
        <w:tc>
          <w:tcPr/>
          <w:p>
            <w:pPr>
              <w:pStyle w:val="Compact"/>
              <w:jc w:val="left"/>
            </w:pPr>
            <w:r>
              <w:t xml:space="preserve">For-hire</w:t>
            </w:r>
          </w:p>
        </w:tc>
        <w:tc>
          <w:tcPr/>
          <w:p>
            <w:pPr>
              <w:pStyle w:val="Compact"/>
              <w:jc w:val="left"/>
            </w:pPr>
            <w:r>
              <w:t xml:space="preserve">750</w:t>
            </w:r>
          </w:p>
        </w:tc>
        <w:tc>
          <w:tcPr/>
          <w:p>
            <w:pPr>
              <w:pStyle w:val="Compact"/>
              <w:jc w:val="left"/>
            </w:pPr>
            <w:r>
              <w:t xml:space="preserve">94</w:t>
            </w:r>
          </w:p>
        </w:tc>
        <w:tc>
          <w:tcPr/>
          <w:p>
            <w:pPr>
              <w:pStyle w:val="Compact"/>
              <w:jc w:val="left"/>
            </w:pPr>
            <w:r>
              <w:t xml:space="preserve">88</w:t>
            </w:r>
          </w:p>
        </w:tc>
        <w:tc>
          <w:tcPr/>
          <w:p>
            <w:pPr>
              <w:pStyle w:val="Compact"/>
              <w:jc w:val="left"/>
            </w:pPr>
            <w:r>
              <w:t xml:space="preserve">932</w:t>
            </w:r>
          </w:p>
        </w:tc>
      </w:tr>
      <w:tr>
        <w:tc>
          <w:tcPr/>
          <w:p>
            <w:pPr>
              <w:pStyle w:val="Compact"/>
              <w:jc w:val="left"/>
            </w:pPr>
            <w:r>
              <w:t xml:space="preserve">Private Vessel</w:t>
            </w:r>
          </w:p>
        </w:tc>
        <w:tc>
          <w:tcPr/>
          <w:p>
            <w:pPr>
              <w:pStyle w:val="Compact"/>
              <w:jc w:val="left"/>
            </w:pPr>
            <w:r>
              <w:t xml:space="preserve">803</w:t>
            </w:r>
          </w:p>
        </w:tc>
        <w:tc>
          <w:tcPr/>
          <w:p>
            <w:pPr>
              <w:pStyle w:val="Compact"/>
              <w:jc w:val="left"/>
            </w:pPr>
            <w:r>
              <w:t xml:space="preserve">128</w:t>
            </w:r>
          </w:p>
        </w:tc>
        <w:tc>
          <w:tcPr/>
          <w:p>
            <w:pPr>
              <w:pStyle w:val="Compact"/>
              <w:jc w:val="left"/>
            </w:pPr>
            <w:r>
              <w:t xml:space="preserve">93</w:t>
            </w:r>
          </w:p>
        </w:tc>
        <w:tc>
          <w:tcPr/>
          <w:p>
            <w:pPr>
              <w:pStyle w:val="Compact"/>
              <w:jc w:val="left"/>
            </w:pPr>
            <w:r>
              <w:t xml:space="preserve">1024</w:t>
            </w:r>
          </w:p>
        </w:tc>
      </w:tr>
      <w:tr>
        <w:tc>
          <w:tcPr/>
          <w:p>
            <w:pPr>
              <w:pStyle w:val="Compact"/>
              <w:jc w:val="left"/>
            </w:pPr>
            <w:r>
              <w:t xml:space="preserve">All Mar. Rec. Fishing</w:t>
            </w:r>
          </w:p>
        </w:tc>
        <w:tc>
          <w:tcPr/>
          <w:p>
            <w:pPr>
              <w:pStyle w:val="Compact"/>
              <w:jc w:val="left"/>
            </w:pPr>
            <w:r>
              <w:t xml:space="preserve">2492</w:t>
            </w:r>
          </w:p>
        </w:tc>
        <w:tc>
          <w:tcPr/>
          <w:p>
            <w:pPr>
              <w:pStyle w:val="Compact"/>
              <w:jc w:val="left"/>
            </w:pPr>
            <w:r>
              <w:t xml:space="preserve">349</w:t>
            </w:r>
          </w:p>
        </w:tc>
        <w:tc>
          <w:tcPr/>
          <w:p>
            <w:pPr>
              <w:pStyle w:val="Compact"/>
              <w:jc w:val="left"/>
            </w:pPr>
            <w:r>
              <w:t xml:space="preserve">266</w:t>
            </w:r>
          </w:p>
        </w:tc>
        <w:tc>
          <w:tcPr/>
          <w:p>
            <w:pPr>
              <w:pStyle w:val="Compact"/>
              <w:jc w:val="left"/>
            </w:pPr>
            <w:r>
              <w:t xml:space="preserve">3107</w:t>
            </w:r>
          </w:p>
        </w:tc>
      </w:tr>
    </w:tbl>
    <w:bookmarkEnd w:id="24"/>
    <w:bookmarkStart w:id="25" w:name="summary"/>
    <w:p>
      <w:pPr>
        <w:pStyle w:val="Heading3"/>
      </w:pPr>
      <w:r>
        <w:t xml:space="preserve">Summary</w:t>
      </w:r>
    </w:p>
    <w:p>
      <w:pPr>
        <w:pStyle w:val="FirstParagraph"/>
      </w:pPr>
      <w:r>
        <w:t xml:space="preserve">This summary shows that marine recreational fishing in Monroe County contributed $379.84M and 3107 jobs to the Monroe County economy in 2024. Again, it is critical to understand that this is not economic value, but nonetheless should be helpful for understanding the economic importance of marine recreational fishing to Monroe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hellykrueger@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hellykrueger@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3F3F31-93E2-4E52-92E2-DB8C2A1314B8}"/>
</file>

<file path=customXml/itemProps2.xml><?xml version="1.0" encoding="utf-8"?>
<ds:datastoreItem xmlns:ds="http://schemas.openxmlformats.org/officeDocument/2006/customXml" ds:itemID="{379009AF-B16C-4146-8C29-DC36414764FC}"/>
</file>

<file path=customXml/itemProps3.xml><?xml version="1.0" encoding="utf-8"?>
<ds:datastoreItem xmlns:ds="http://schemas.openxmlformats.org/officeDocument/2006/customXml" ds:itemID="{CBD9C596-17EB-4547-845D-5F0C6E61EE3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Monroe County</dc:title>
  <dc:creator>Prepared for the Monroe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Shelly Krueger, Florida Sea Grant Agent Monroe County. shellykrueger@ufl.edu</dc:creator>
  <cp:keywords/>
  <dcterms:created xsi:type="dcterms:W3CDTF">2025-03-19T19:29:03Z</dcterms:created>
  <dcterms:modified xsi:type="dcterms:W3CDTF">2025-03-19T19:29:03Z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