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Nassau County</w:t>
      </w:r>
    </w:p>
    <w:p>
      <w:pPr>
        <w:pStyle w:val="Author"/>
      </w:pPr>
      <w:r>
        <w:t xml:space="preserve">A data report for the Nassau County Tourist Development Council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Nassau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3"/>
    <w:bookmarkStart w:id="25"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Nassau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Nassau County by marine recreational fishing activity. We believe this information can be useful to the Nassau County Tourist Development Council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Nassau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Nassau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Nassau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Nassau County that might impact recreational fishing activity, or when discussing similar changes that occur at a regional or state-wide scale but might affect Nassau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4">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5"/>
    <w:bookmarkStart w:id="26"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Nassau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Nassau County estimates use the average marine recreational fisher expenditures for the Atlantic coast.</w:t>
      </w:r>
    </w:p>
    <w:p>
      <w:pPr>
        <w:pStyle w:val="BodyText"/>
      </w:pPr>
      <w:r>
        <w:rPr>
          <w:i/>
          <w:iCs/>
        </w:rPr>
        <w:t xml:space="preserve">2. Estimating the number of marine recreational fishing trips in Nassau County during 2024.</w:t>
      </w:r>
      <w:r>
        <w:t xml:space="preserve"> </w:t>
      </w:r>
      <w:r>
        <w:t xml:space="preserve">To do this we used the MRIP database, which is publicly available at</w:t>
      </w:r>
      <w:r>
        <w:t xml:space="preserve"> </w:t>
      </w:r>
      <w:hyperlink r:id="rId24">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Nassau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Nassau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Nassau economy. However, it is critical to remember that the economic contribution numbers reported for Nassau County are not equivalent to economic value, and thus they do not represent economic benefit to Nassau County.</w:t>
      </w:r>
      <w:r>
        <w:t xml:space="preserve"> </w:t>
      </w:r>
      <w:r>
        <w:t xml:space="preserve">A second important caveat is to understand that the data used to calculate economic contributions for Nassau County are not perfectly precise. The estimates of trips (by fishing mode) can have substantial error (this is described in a separate report on recreational fishing effort in Nassau County, see authors or your local Florida Sea Grant agent if you do not have this report). Also, the expenditures per trip represent the average, and were calculated at the coast-wide (Gulf, Atlantic) scale, rather than precisely in Nassau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Nassau County that we are aware of currently.</w:t>
      </w:r>
    </w:p>
    <w:p>
      <w:r>
        <w:br w:type="page"/>
      </w:r>
    </w:p>
    <w:bookmarkEnd w:id="26"/>
    <w:bookmarkStart w:id="31" w:name="results"/>
    <w:p>
      <w:pPr>
        <w:pStyle w:val="Heading2"/>
      </w:pPr>
      <w:r>
        <w:t xml:space="preserve">Results</w:t>
      </w:r>
    </w:p>
    <w:p>
      <w:pPr>
        <w:pStyle w:val="FirstParagraph"/>
      </w:pPr>
      <w:r>
        <w:rPr>
          <w:i/>
          <w:iCs/>
        </w:rPr>
        <w:t xml:space="preserve">Overview</w:t>
      </w:r>
      <w:r>
        <w:br/>
      </w:r>
      <w:r>
        <w:t xml:space="preserve">The economic contribution results for Nassau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7" w:name="all-trips-all-modes-of-fishing-combined"/>
    <w:p>
      <w:pPr>
        <w:pStyle w:val="Heading3"/>
      </w:pPr>
      <w:r>
        <w:t xml:space="preserve">All trips (all modes of fishing combined)</w:t>
      </w:r>
    </w:p>
    <w:p>
      <w:pPr>
        <w:pStyle w:val="FirstParagraph"/>
      </w:pPr>
      <w:r>
        <w:t xml:space="preserve">Total contributions in terms of output (or sales revenues) in Nassau County associated with all marine recreational fishing trips in 2024 was estimated to be $44.27M, and these trips supported 376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Nassau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Nassau County 2024 Marine Rec. Fishing Contribution, all modes</w:t>
      </w:r>
    </w:p>
    <w:tbl>
      <w:tblPr>
        <w:tblStyle w:val="Table"/>
        <w:tblW w:type="auto" w:w="0"/>
        <w:tblLook w:firstRow="1" w:lastRow="0" w:firstColumn="0" w:lastColumn="0" w:noHBand="0" w:noVBand="0" w:val="0020"/>
        <w:tblCaption w:val="Nassau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31.93</w:t>
            </w:r>
          </w:p>
        </w:tc>
        <w:tc>
          <w:tcPr/>
          <w:p>
            <w:pPr>
              <w:pStyle w:val="Compact"/>
              <w:jc w:val="left"/>
            </w:pPr>
            <w:r>
              <w:t xml:space="preserve">7.41</w:t>
            </w:r>
          </w:p>
        </w:tc>
        <w:tc>
          <w:tcPr/>
          <w:p>
            <w:pPr>
              <w:pStyle w:val="Compact"/>
              <w:jc w:val="left"/>
            </w:pPr>
            <w:r>
              <w:t xml:space="preserve">4.93</w:t>
            </w:r>
          </w:p>
        </w:tc>
        <w:tc>
          <w:tcPr/>
          <w:p>
            <w:pPr>
              <w:pStyle w:val="Compact"/>
              <w:jc w:val="left"/>
            </w:pPr>
            <w:r>
              <w:t xml:space="preserve">44.27</w:t>
            </w:r>
          </w:p>
        </w:tc>
      </w:tr>
      <w:tr>
        <w:tc>
          <w:tcPr/>
          <w:p>
            <w:pPr>
              <w:pStyle w:val="Compact"/>
              <w:jc w:val="left"/>
            </w:pPr>
            <w:r>
              <w:t xml:space="preserve">Employment (Jobs)</w:t>
            </w:r>
          </w:p>
        </w:tc>
        <w:tc>
          <w:tcPr/>
          <w:p>
            <w:pPr>
              <w:pStyle w:val="Compact"/>
              <w:jc w:val="left"/>
            </w:pPr>
            <w:r>
              <w:t xml:space="preserve">299</w:t>
            </w:r>
          </w:p>
        </w:tc>
        <w:tc>
          <w:tcPr/>
          <w:p>
            <w:pPr>
              <w:pStyle w:val="Compact"/>
              <w:jc w:val="left"/>
            </w:pPr>
            <w:r>
              <w:t xml:space="preserve">46</w:t>
            </w:r>
          </w:p>
        </w:tc>
        <w:tc>
          <w:tcPr/>
          <w:p>
            <w:pPr>
              <w:pStyle w:val="Compact"/>
              <w:jc w:val="left"/>
            </w:pPr>
            <w:r>
              <w:t xml:space="preserve">30</w:t>
            </w:r>
          </w:p>
        </w:tc>
        <w:tc>
          <w:tcPr/>
          <w:p>
            <w:pPr>
              <w:pStyle w:val="Compact"/>
              <w:jc w:val="left"/>
            </w:pPr>
            <w:r>
              <w:t xml:space="preserve">376</w:t>
            </w:r>
          </w:p>
        </w:tc>
      </w:tr>
      <w:tr>
        <w:tc>
          <w:tcPr/>
          <w:p>
            <w:pPr>
              <w:pStyle w:val="Compact"/>
              <w:jc w:val="left"/>
            </w:pPr>
            <w:r>
              <w:t xml:space="preserve">Value added($M.)</w:t>
            </w:r>
          </w:p>
        </w:tc>
        <w:tc>
          <w:tcPr/>
          <w:p>
            <w:pPr>
              <w:pStyle w:val="Compact"/>
              <w:jc w:val="left"/>
            </w:pPr>
            <w:r>
              <w:t xml:space="preserve">19.09</w:t>
            </w:r>
          </w:p>
        </w:tc>
        <w:tc>
          <w:tcPr/>
          <w:p>
            <w:pPr>
              <w:pStyle w:val="Compact"/>
              <w:jc w:val="left"/>
            </w:pPr>
            <w:r>
              <w:t xml:space="preserve">3.4</w:t>
            </w:r>
          </w:p>
        </w:tc>
        <w:tc>
          <w:tcPr/>
          <w:p>
            <w:pPr>
              <w:pStyle w:val="Compact"/>
              <w:jc w:val="left"/>
            </w:pPr>
            <w:r>
              <w:t xml:space="preserve">3.12</w:t>
            </w:r>
          </w:p>
        </w:tc>
        <w:tc>
          <w:tcPr/>
          <w:p>
            <w:pPr>
              <w:pStyle w:val="Compact"/>
              <w:jc w:val="left"/>
            </w:pPr>
            <w:r>
              <w:t xml:space="preserve">25.59</w:t>
            </w:r>
          </w:p>
        </w:tc>
      </w:tr>
      <w:tr>
        <w:tc>
          <w:tcPr/>
          <w:p>
            <w:pPr>
              <w:pStyle w:val="Compact"/>
              <w:jc w:val="left"/>
            </w:pPr>
            <w:r>
              <w:t xml:space="preserve">Labor Income($M.)</w:t>
            </w:r>
          </w:p>
        </w:tc>
        <w:tc>
          <w:tcPr/>
          <w:p>
            <w:pPr>
              <w:pStyle w:val="Compact"/>
              <w:jc w:val="left"/>
            </w:pPr>
            <w:r>
              <w:t xml:space="preserve">13.19</w:t>
            </w:r>
          </w:p>
        </w:tc>
        <w:tc>
          <w:tcPr/>
          <w:p>
            <w:pPr>
              <w:pStyle w:val="Compact"/>
              <w:jc w:val="left"/>
            </w:pPr>
            <w:r>
              <w:t xml:space="preserve">2.16</w:t>
            </w:r>
          </w:p>
        </w:tc>
        <w:tc>
          <w:tcPr/>
          <w:p>
            <w:pPr>
              <w:pStyle w:val="Compact"/>
              <w:jc w:val="left"/>
            </w:pPr>
            <w:r>
              <w:t xml:space="preserve">1.25</w:t>
            </w:r>
          </w:p>
        </w:tc>
        <w:tc>
          <w:tcPr/>
          <w:p>
            <w:pPr>
              <w:pStyle w:val="Compact"/>
              <w:jc w:val="left"/>
            </w:pPr>
            <w:r>
              <w:t xml:space="preserve">16.6</w:t>
            </w:r>
          </w:p>
        </w:tc>
      </w:tr>
      <w:tr>
        <w:tc>
          <w:tcPr/>
          <w:p>
            <w:pPr>
              <w:pStyle w:val="Compact"/>
              <w:jc w:val="left"/>
            </w:pPr>
            <w:r>
              <w:t xml:space="preserve">Other Property Income($M.)</w:t>
            </w:r>
          </w:p>
        </w:tc>
        <w:tc>
          <w:tcPr/>
          <w:p>
            <w:pPr>
              <w:pStyle w:val="Compact"/>
              <w:jc w:val="left"/>
            </w:pPr>
            <w:r>
              <w:t xml:space="preserve">2.96</w:t>
            </w:r>
          </w:p>
        </w:tc>
        <w:tc>
          <w:tcPr/>
          <w:p>
            <w:pPr>
              <w:pStyle w:val="Compact"/>
              <w:jc w:val="left"/>
            </w:pPr>
            <w:r>
              <w:t xml:space="preserve">1.05</w:t>
            </w:r>
          </w:p>
        </w:tc>
        <w:tc>
          <w:tcPr/>
          <w:p>
            <w:pPr>
              <w:pStyle w:val="Compact"/>
              <w:jc w:val="left"/>
            </w:pPr>
            <w:r>
              <w:t xml:space="preserve">1.51</w:t>
            </w:r>
          </w:p>
        </w:tc>
        <w:tc>
          <w:tcPr/>
          <w:p>
            <w:pPr>
              <w:pStyle w:val="Compact"/>
              <w:jc w:val="left"/>
            </w:pPr>
            <w:r>
              <w:t xml:space="preserve">5.52</w:t>
            </w:r>
          </w:p>
        </w:tc>
      </w:tr>
      <w:tr>
        <w:tc>
          <w:tcPr/>
          <w:p>
            <w:pPr>
              <w:pStyle w:val="Compact"/>
              <w:jc w:val="left"/>
            </w:pPr>
            <w:r>
              <w:t xml:space="preserve">Indirect Business Tax($M.)</w:t>
            </w:r>
          </w:p>
        </w:tc>
        <w:tc>
          <w:tcPr/>
          <w:p>
            <w:pPr>
              <w:pStyle w:val="Compact"/>
              <w:jc w:val="left"/>
            </w:pPr>
            <w:r>
              <w:t xml:space="preserve">2.93</w:t>
            </w:r>
          </w:p>
        </w:tc>
        <w:tc>
          <w:tcPr/>
          <w:p>
            <w:pPr>
              <w:pStyle w:val="Compact"/>
              <w:jc w:val="left"/>
            </w:pPr>
            <w:r>
              <w:t xml:space="preserve">0.19</w:t>
            </w:r>
          </w:p>
        </w:tc>
        <w:tc>
          <w:tcPr/>
          <w:p>
            <w:pPr>
              <w:pStyle w:val="Compact"/>
              <w:jc w:val="left"/>
            </w:pPr>
            <w:r>
              <w:t xml:space="preserve">0.35</w:t>
            </w:r>
          </w:p>
        </w:tc>
        <w:tc>
          <w:tcPr/>
          <w:p>
            <w:pPr>
              <w:pStyle w:val="Compact"/>
              <w:jc w:val="left"/>
            </w:pPr>
            <w:r>
              <w:t xml:space="preserve">3.48</w:t>
            </w:r>
          </w:p>
        </w:tc>
      </w:tr>
    </w:tbl>
    <w:p>
      <w:r>
        <w:br w:type="page"/>
      </w:r>
    </w:p>
    <w:bookmarkEnd w:id="27"/>
    <w:bookmarkStart w:id="28" w:name="shore-based-trips"/>
    <w:p>
      <w:pPr>
        <w:pStyle w:val="Heading3"/>
      </w:pPr>
      <w:r>
        <w:t xml:space="preserve">Shore-based trips</w:t>
      </w:r>
    </w:p>
    <w:p>
      <w:pPr>
        <w:pStyle w:val="FirstParagraph"/>
      </w:pPr>
      <w:r>
        <w:t xml:space="preserve">Total contributions in terms of output (or sales revenues) in Nassau County associated with shore-based marine recreational fishing trips in 2024 was estimated to be $6.48M, and these trips supported 60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Nassau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Nassau County 2024 Marine Rec. Fishing Contribution, Shore-based</w:t>
      </w:r>
    </w:p>
    <w:tbl>
      <w:tblPr>
        <w:tblStyle w:val="Table"/>
        <w:tblW w:type="auto" w:w="0"/>
        <w:tblLook w:firstRow="1" w:lastRow="0" w:firstColumn="0" w:lastColumn="0" w:noHBand="0" w:noVBand="0" w:val="0020"/>
        <w:tblCaption w:val="Nassau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4.73</w:t>
            </w:r>
          </w:p>
        </w:tc>
        <w:tc>
          <w:tcPr/>
          <w:p>
            <w:pPr>
              <w:pStyle w:val="Compact"/>
              <w:jc w:val="left"/>
            </w:pPr>
            <w:r>
              <w:t xml:space="preserve">1.12</w:t>
            </w:r>
          </w:p>
        </w:tc>
        <w:tc>
          <w:tcPr/>
          <w:p>
            <w:pPr>
              <w:pStyle w:val="Compact"/>
              <w:jc w:val="left"/>
            </w:pPr>
            <w:r>
              <w:t xml:space="preserve">0.63</w:t>
            </w:r>
          </w:p>
        </w:tc>
        <w:tc>
          <w:tcPr/>
          <w:p>
            <w:pPr>
              <w:pStyle w:val="Compact"/>
              <w:jc w:val="left"/>
            </w:pPr>
            <w:r>
              <w:t xml:space="preserve">6.48</w:t>
            </w:r>
          </w:p>
        </w:tc>
      </w:tr>
      <w:tr>
        <w:tc>
          <w:tcPr/>
          <w:p>
            <w:pPr>
              <w:pStyle w:val="Compact"/>
              <w:jc w:val="left"/>
            </w:pPr>
            <w:r>
              <w:t xml:space="preserve">Employment (Jobs)</w:t>
            </w:r>
          </w:p>
        </w:tc>
        <w:tc>
          <w:tcPr/>
          <w:p>
            <w:pPr>
              <w:pStyle w:val="Compact"/>
              <w:jc w:val="left"/>
            </w:pPr>
            <w:r>
              <w:t xml:space="preserve">49</w:t>
            </w:r>
          </w:p>
        </w:tc>
        <w:tc>
          <w:tcPr/>
          <w:p>
            <w:pPr>
              <w:pStyle w:val="Compact"/>
              <w:jc w:val="left"/>
            </w:pPr>
            <w:r>
              <w:t xml:space="preserve">7</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Value added($M.)</w:t>
            </w:r>
          </w:p>
        </w:tc>
        <w:tc>
          <w:tcPr/>
          <w:p>
            <w:pPr>
              <w:pStyle w:val="Compact"/>
              <w:jc w:val="left"/>
            </w:pPr>
            <w:r>
              <w:t xml:space="preserve">2.96</w:t>
            </w:r>
          </w:p>
        </w:tc>
        <w:tc>
          <w:tcPr/>
          <w:p>
            <w:pPr>
              <w:pStyle w:val="Compact"/>
              <w:jc w:val="left"/>
            </w:pPr>
            <w:r>
              <w:t xml:space="preserve">0.5</w:t>
            </w:r>
          </w:p>
        </w:tc>
        <w:tc>
          <w:tcPr/>
          <w:p>
            <w:pPr>
              <w:pStyle w:val="Compact"/>
              <w:jc w:val="left"/>
            </w:pPr>
            <w:r>
              <w:t xml:space="preserve">0.4</w:t>
            </w:r>
          </w:p>
        </w:tc>
        <w:tc>
          <w:tcPr/>
          <w:p>
            <w:pPr>
              <w:pStyle w:val="Compact"/>
              <w:jc w:val="left"/>
            </w:pPr>
            <w:r>
              <w:t xml:space="preserve">3.86</w:t>
            </w:r>
          </w:p>
        </w:tc>
      </w:tr>
      <w:tr>
        <w:tc>
          <w:tcPr/>
          <w:p>
            <w:pPr>
              <w:pStyle w:val="Compact"/>
              <w:jc w:val="left"/>
            </w:pPr>
            <w:r>
              <w:t xml:space="preserve">Labor Income($M.)</w:t>
            </w:r>
          </w:p>
        </w:tc>
        <w:tc>
          <w:tcPr/>
          <w:p>
            <w:pPr>
              <w:pStyle w:val="Compact"/>
              <w:jc w:val="left"/>
            </w:pPr>
            <w:r>
              <w:t xml:space="preserve">1.66</w:t>
            </w:r>
          </w:p>
        </w:tc>
        <w:tc>
          <w:tcPr/>
          <w:p>
            <w:pPr>
              <w:pStyle w:val="Compact"/>
              <w:jc w:val="left"/>
            </w:pPr>
            <w:r>
              <w:t xml:space="preserve">0.3</w:t>
            </w:r>
          </w:p>
        </w:tc>
        <w:tc>
          <w:tcPr/>
          <w:p>
            <w:pPr>
              <w:pStyle w:val="Compact"/>
              <w:jc w:val="left"/>
            </w:pPr>
            <w:r>
              <w:t xml:space="preserve">0.16</w:t>
            </w:r>
          </w:p>
        </w:tc>
        <w:tc>
          <w:tcPr/>
          <w:p>
            <w:pPr>
              <w:pStyle w:val="Compact"/>
              <w:jc w:val="left"/>
            </w:pPr>
            <w:r>
              <w:t xml:space="preserve">2.12</w:t>
            </w:r>
          </w:p>
        </w:tc>
      </w:tr>
      <w:tr>
        <w:tc>
          <w:tcPr/>
          <w:p>
            <w:pPr>
              <w:pStyle w:val="Compact"/>
              <w:jc w:val="left"/>
            </w:pPr>
            <w:r>
              <w:t xml:space="preserve">Other Property Income($M.)</w:t>
            </w:r>
          </w:p>
        </w:tc>
        <w:tc>
          <w:tcPr/>
          <w:p>
            <w:pPr>
              <w:pStyle w:val="Compact"/>
              <w:jc w:val="left"/>
            </w:pPr>
            <w:r>
              <w:t xml:space="preserve">0.83</w:t>
            </w:r>
          </w:p>
        </w:tc>
        <w:tc>
          <w:tcPr/>
          <w:p>
            <w:pPr>
              <w:pStyle w:val="Compact"/>
              <w:jc w:val="left"/>
            </w:pPr>
            <w:r>
              <w:t xml:space="preserve">0.17</w:t>
            </w:r>
          </w:p>
        </w:tc>
        <w:tc>
          <w:tcPr/>
          <w:p>
            <w:pPr>
              <w:pStyle w:val="Compact"/>
              <w:jc w:val="left"/>
            </w:pPr>
            <w:r>
              <w:t xml:space="preserve">0.19</w:t>
            </w:r>
          </w:p>
        </w:tc>
        <w:tc>
          <w:tcPr/>
          <w:p>
            <w:pPr>
              <w:pStyle w:val="Compact"/>
              <w:jc w:val="left"/>
            </w:pPr>
            <w:r>
              <w:t xml:space="preserve">1.19</w:t>
            </w:r>
          </w:p>
        </w:tc>
      </w:tr>
      <w:tr>
        <w:tc>
          <w:tcPr/>
          <w:p>
            <w:pPr>
              <w:pStyle w:val="Compact"/>
              <w:jc w:val="left"/>
            </w:pPr>
            <w:r>
              <w:t xml:space="preserve">Indirect Business Tax($M.)</w:t>
            </w:r>
          </w:p>
        </w:tc>
        <w:tc>
          <w:tcPr/>
          <w:p>
            <w:pPr>
              <w:pStyle w:val="Compact"/>
              <w:jc w:val="left"/>
            </w:pPr>
            <w:r>
              <w:t xml:space="preserve">0.47</w:t>
            </w:r>
          </w:p>
        </w:tc>
        <w:tc>
          <w:tcPr/>
          <w:p>
            <w:pPr>
              <w:pStyle w:val="Compact"/>
              <w:jc w:val="left"/>
            </w:pPr>
            <w:r>
              <w:t xml:space="preserve">0.03</w:t>
            </w:r>
          </w:p>
        </w:tc>
        <w:tc>
          <w:tcPr/>
          <w:p>
            <w:pPr>
              <w:pStyle w:val="Compact"/>
              <w:jc w:val="left"/>
            </w:pPr>
            <w:r>
              <w:t xml:space="preserve">0.05</w:t>
            </w:r>
          </w:p>
        </w:tc>
        <w:tc>
          <w:tcPr/>
          <w:p>
            <w:pPr>
              <w:pStyle w:val="Compact"/>
              <w:jc w:val="left"/>
            </w:pPr>
            <w:r>
              <w:t xml:space="preserve">0.55</w:t>
            </w:r>
          </w:p>
        </w:tc>
      </w:tr>
    </w:tbl>
    <w:p>
      <w:r>
        <w:br w:type="page"/>
      </w:r>
    </w:p>
    <w:bookmarkEnd w:id="28"/>
    <w:bookmarkStart w:id="29" w:name="for-hire-trips"/>
    <w:p>
      <w:pPr>
        <w:pStyle w:val="Heading3"/>
      </w:pPr>
      <w:r>
        <w:t xml:space="preserve">For-hire trips</w:t>
      </w:r>
    </w:p>
    <w:p>
      <w:pPr>
        <w:pStyle w:val="FirstParagraph"/>
      </w:pPr>
      <w:r>
        <w:t xml:space="preserve">Total contributions in terms of output (or sales revenues) in Nassau County associated with for-hire marine recreational fishing trips in 2024 was estimated to be $6.89M, and these trips supported 60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Nassau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Nassau County 2024 Marine Rec. Fishing Contribution, for-hire</w:t>
      </w:r>
    </w:p>
    <w:tbl>
      <w:tblPr>
        <w:tblStyle w:val="Table"/>
        <w:tblW w:type="auto" w:w="0"/>
        <w:tblLook w:firstRow="1" w:lastRow="0" w:firstColumn="0" w:lastColumn="0" w:noHBand="0" w:noVBand="0" w:val="0020"/>
        <w:tblCaption w:val="Nassau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4.89</w:t>
            </w:r>
          </w:p>
        </w:tc>
        <w:tc>
          <w:tcPr/>
          <w:p>
            <w:pPr>
              <w:pStyle w:val="Compact"/>
              <w:jc w:val="left"/>
            </w:pPr>
            <w:r>
              <w:t xml:space="preserve">0.69</w:t>
            </w:r>
          </w:p>
        </w:tc>
        <w:tc>
          <w:tcPr/>
          <w:p>
            <w:pPr>
              <w:pStyle w:val="Compact"/>
              <w:jc w:val="left"/>
            </w:pPr>
            <w:r>
              <w:t xml:space="preserve">1.31</w:t>
            </w:r>
          </w:p>
        </w:tc>
        <w:tc>
          <w:tcPr/>
          <w:p>
            <w:pPr>
              <w:pStyle w:val="Compact"/>
              <w:jc w:val="left"/>
            </w:pPr>
            <w:r>
              <w:t xml:space="preserve">6.89</w:t>
            </w:r>
          </w:p>
        </w:tc>
      </w:tr>
      <w:tr>
        <w:tc>
          <w:tcPr/>
          <w:p>
            <w:pPr>
              <w:pStyle w:val="Compact"/>
              <w:jc w:val="left"/>
            </w:pPr>
            <w:r>
              <w:t xml:space="preserve">Employment (Jobs)</w:t>
            </w:r>
          </w:p>
        </w:tc>
        <w:tc>
          <w:tcPr/>
          <w:p>
            <w:pPr>
              <w:pStyle w:val="Compact"/>
              <w:jc w:val="left"/>
            </w:pPr>
            <w:r>
              <w:t xml:space="preserve">47</w:t>
            </w:r>
          </w:p>
        </w:tc>
        <w:tc>
          <w:tcPr/>
          <w:p>
            <w:pPr>
              <w:pStyle w:val="Compact"/>
              <w:jc w:val="left"/>
            </w:pPr>
            <w:r>
              <w:t xml:space="preserve">5</w:t>
            </w:r>
          </w:p>
        </w:tc>
        <w:tc>
          <w:tcPr/>
          <w:p>
            <w:pPr>
              <w:pStyle w:val="Compact"/>
              <w:jc w:val="left"/>
            </w:pPr>
            <w:r>
              <w:t xml:space="preserve">8</w:t>
            </w:r>
          </w:p>
        </w:tc>
        <w:tc>
          <w:tcPr/>
          <w:p>
            <w:pPr>
              <w:pStyle w:val="Compact"/>
              <w:jc w:val="left"/>
            </w:pPr>
            <w:r>
              <w:t xml:space="preserve">60</w:t>
            </w:r>
          </w:p>
        </w:tc>
      </w:tr>
      <w:tr>
        <w:tc>
          <w:tcPr/>
          <w:p>
            <w:pPr>
              <w:pStyle w:val="Compact"/>
              <w:jc w:val="left"/>
            </w:pPr>
            <w:r>
              <w:t xml:space="preserve">Value added($M.)</w:t>
            </w:r>
          </w:p>
        </w:tc>
        <w:tc>
          <w:tcPr/>
          <w:p>
            <w:pPr>
              <w:pStyle w:val="Compact"/>
              <w:jc w:val="left"/>
            </w:pPr>
            <w:r>
              <w:t xml:space="preserve">3.67</w:t>
            </w:r>
          </w:p>
        </w:tc>
        <w:tc>
          <w:tcPr/>
          <w:p>
            <w:pPr>
              <w:pStyle w:val="Compact"/>
              <w:jc w:val="left"/>
            </w:pPr>
            <w:r>
              <w:t xml:space="preserve">0.34</w:t>
            </w:r>
          </w:p>
        </w:tc>
        <w:tc>
          <w:tcPr/>
          <w:p>
            <w:pPr>
              <w:pStyle w:val="Compact"/>
              <w:jc w:val="left"/>
            </w:pPr>
            <w:r>
              <w:t xml:space="preserve">0.83</w:t>
            </w:r>
          </w:p>
        </w:tc>
        <w:tc>
          <w:tcPr/>
          <w:p>
            <w:pPr>
              <w:pStyle w:val="Compact"/>
              <w:jc w:val="left"/>
            </w:pPr>
            <w:r>
              <w:t xml:space="preserve">4.83</w:t>
            </w:r>
          </w:p>
        </w:tc>
      </w:tr>
      <w:tr>
        <w:tc>
          <w:tcPr/>
          <w:p>
            <w:pPr>
              <w:pStyle w:val="Compact"/>
              <w:jc w:val="left"/>
            </w:pPr>
            <w:r>
              <w:t xml:space="preserve">Labor Income($M.)</w:t>
            </w:r>
          </w:p>
        </w:tc>
        <w:tc>
          <w:tcPr/>
          <w:p>
            <w:pPr>
              <w:pStyle w:val="Compact"/>
              <w:jc w:val="left"/>
            </w:pPr>
            <w:r>
              <w:t xml:space="preserve">3.73</w:t>
            </w:r>
          </w:p>
        </w:tc>
        <w:tc>
          <w:tcPr/>
          <w:p>
            <w:pPr>
              <w:pStyle w:val="Compact"/>
              <w:jc w:val="left"/>
            </w:pPr>
            <w:r>
              <w:t xml:space="preserve">0.24</w:t>
            </w:r>
          </w:p>
        </w:tc>
        <w:tc>
          <w:tcPr/>
          <w:p>
            <w:pPr>
              <w:pStyle w:val="Compact"/>
              <w:jc w:val="left"/>
            </w:pPr>
            <w:r>
              <w:t xml:space="preserve">0.33</w:t>
            </w:r>
          </w:p>
        </w:tc>
        <w:tc>
          <w:tcPr/>
          <w:p>
            <w:pPr>
              <w:pStyle w:val="Compact"/>
              <w:jc w:val="left"/>
            </w:pPr>
            <w:r>
              <w:t xml:space="preserve">4.3</w:t>
            </w:r>
          </w:p>
        </w:tc>
      </w:tr>
      <w:tr>
        <w:tc>
          <w:tcPr/>
          <w:p>
            <w:pPr>
              <w:pStyle w:val="Compact"/>
              <w:jc w:val="left"/>
            </w:pPr>
            <w:r>
              <w:t xml:space="preserve">Other Property Income($M.)</w:t>
            </w:r>
          </w:p>
        </w:tc>
        <w:tc>
          <w:tcPr/>
          <w:p>
            <w:pPr>
              <w:pStyle w:val="Compact"/>
              <w:jc w:val="left"/>
            </w:pPr>
            <w:r>
              <w:t xml:space="preserve">-0.18</w:t>
            </w:r>
          </w:p>
        </w:tc>
        <w:tc>
          <w:tcPr/>
          <w:p>
            <w:pPr>
              <w:pStyle w:val="Compact"/>
              <w:jc w:val="left"/>
            </w:pPr>
            <w:r>
              <w:t xml:space="preserve">0.08</w:t>
            </w:r>
          </w:p>
        </w:tc>
        <w:tc>
          <w:tcPr/>
          <w:p>
            <w:pPr>
              <w:pStyle w:val="Compact"/>
              <w:jc w:val="left"/>
            </w:pPr>
            <w:r>
              <w:t xml:space="preserve">0.4</w:t>
            </w:r>
          </w:p>
        </w:tc>
        <w:tc>
          <w:tcPr/>
          <w:p>
            <w:pPr>
              <w:pStyle w:val="Compact"/>
              <w:jc w:val="left"/>
            </w:pPr>
            <w:r>
              <w:t xml:space="preserve">0.3</w:t>
            </w:r>
          </w:p>
        </w:tc>
      </w:tr>
      <w:tr>
        <w:tc>
          <w:tcPr/>
          <w:p>
            <w:pPr>
              <w:pStyle w:val="Compact"/>
              <w:jc w:val="left"/>
            </w:pPr>
            <w:r>
              <w:t xml:space="preserve">Indirect Business Tax($M.)</w:t>
            </w:r>
          </w:p>
        </w:tc>
        <w:tc>
          <w:tcPr/>
          <w:p>
            <w:pPr>
              <w:pStyle w:val="Compact"/>
              <w:jc w:val="left"/>
            </w:pPr>
            <w:r>
              <w:t xml:space="preserve">0.12</w:t>
            </w:r>
          </w:p>
        </w:tc>
        <w:tc>
          <w:tcPr/>
          <w:p>
            <w:pPr>
              <w:pStyle w:val="Compact"/>
              <w:jc w:val="left"/>
            </w:pPr>
            <w:r>
              <w:t xml:space="preserve">0.02</w:t>
            </w:r>
          </w:p>
        </w:tc>
        <w:tc>
          <w:tcPr/>
          <w:p>
            <w:pPr>
              <w:pStyle w:val="Compact"/>
              <w:jc w:val="left"/>
            </w:pPr>
            <w:r>
              <w:t xml:space="preserve">0.09</w:t>
            </w:r>
          </w:p>
        </w:tc>
        <w:tc>
          <w:tcPr/>
          <w:p>
            <w:pPr>
              <w:pStyle w:val="Compact"/>
              <w:jc w:val="left"/>
            </w:pPr>
            <w:r>
              <w:t xml:space="preserve">0.23</w:t>
            </w:r>
          </w:p>
        </w:tc>
      </w:tr>
    </w:tbl>
    <w:p>
      <w:r>
        <w:br w:type="page"/>
      </w:r>
    </w:p>
    <w:bookmarkEnd w:id="29"/>
    <w:bookmarkStart w:id="30" w:name="privaterental-vessel-trips"/>
    <w:p>
      <w:pPr>
        <w:pStyle w:val="Heading3"/>
      </w:pPr>
      <w:r>
        <w:t xml:space="preserve">Private/rental vessel trips</w:t>
      </w:r>
    </w:p>
    <w:p>
      <w:pPr>
        <w:pStyle w:val="FirstParagraph"/>
      </w:pPr>
      <w:r>
        <w:t xml:space="preserve">Total contributions in terms of output (or sales revenues) in Nassau County associated with private/rental vessel marine recreational fishing trips in 2024 was estimated to be $30.9M, and these trips supported 256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Nassau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Nassau County 2024 Marine Rec. Fishing Contribution, Private vessel</w:t>
      </w:r>
    </w:p>
    <w:tbl>
      <w:tblPr>
        <w:tblStyle w:val="Table"/>
        <w:tblW w:type="auto" w:w="0"/>
        <w:tblLook w:firstRow="1" w:lastRow="0" w:firstColumn="0" w:lastColumn="0" w:noHBand="0" w:noVBand="0" w:val="0020"/>
        <w:tblCaption w:val="Nassau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22.31</w:t>
            </w:r>
          </w:p>
        </w:tc>
        <w:tc>
          <w:tcPr/>
          <w:p>
            <w:pPr>
              <w:pStyle w:val="Compact"/>
              <w:jc w:val="left"/>
            </w:pPr>
            <w:r>
              <w:t xml:space="preserve">5.6</w:t>
            </w:r>
          </w:p>
        </w:tc>
        <w:tc>
          <w:tcPr/>
          <w:p>
            <w:pPr>
              <w:pStyle w:val="Compact"/>
              <w:jc w:val="left"/>
            </w:pPr>
            <w:r>
              <w:t xml:space="preserve">2.99</w:t>
            </w:r>
          </w:p>
        </w:tc>
        <w:tc>
          <w:tcPr/>
          <w:p>
            <w:pPr>
              <w:pStyle w:val="Compact"/>
              <w:jc w:val="left"/>
            </w:pPr>
            <w:r>
              <w:t xml:space="preserve">30.9</w:t>
            </w:r>
          </w:p>
        </w:tc>
      </w:tr>
      <w:tr>
        <w:tc>
          <w:tcPr/>
          <w:p>
            <w:pPr>
              <w:pStyle w:val="Compact"/>
              <w:jc w:val="left"/>
            </w:pPr>
            <w:r>
              <w:t xml:space="preserve">Employment (Jobs)</w:t>
            </w:r>
          </w:p>
        </w:tc>
        <w:tc>
          <w:tcPr/>
          <w:p>
            <w:pPr>
              <w:pStyle w:val="Compact"/>
              <w:jc w:val="left"/>
            </w:pPr>
            <w:r>
              <w:t xml:space="preserve">203</w:t>
            </w:r>
          </w:p>
        </w:tc>
        <w:tc>
          <w:tcPr/>
          <w:p>
            <w:pPr>
              <w:pStyle w:val="Compact"/>
              <w:jc w:val="left"/>
            </w:pPr>
            <w:r>
              <w:t xml:space="preserve">34</w:t>
            </w:r>
          </w:p>
        </w:tc>
        <w:tc>
          <w:tcPr/>
          <w:p>
            <w:pPr>
              <w:pStyle w:val="Compact"/>
              <w:jc w:val="left"/>
            </w:pPr>
            <w:r>
              <w:t xml:space="preserve">18</w:t>
            </w:r>
          </w:p>
        </w:tc>
        <w:tc>
          <w:tcPr/>
          <w:p>
            <w:pPr>
              <w:pStyle w:val="Compact"/>
              <w:jc w:val="left"/>
            </w:pPr>
            <w:r>
              <w:t xml:space="preserve">256</w:t>
            </w:r>
          </w:p>
        </w:tc>
      </w:tr>
      <w:tr>
        <w:tc>
          <w:tcPr/>
          <w:p>
            <w:pPr>
              <w:pStyle w:val="Compact"/>
              <w:jc w:val="left"/>
            </w:pPr>
            <w:r>
              <w:t xml:space="preserve">Value added($M.)</w:t>
            </w:r>
          </w:p>
        </w:tc>
        <w:tc>
          <w:tcPr/>
          <w:p>
            <w:pPr>
              <w:pStyle w:val="Compact"/>
              <w:jc w:val="left"/>
            </w:pPr>
            <w:r>
              <w:t xml:space="preserve">12.46</w:t>
            </w:r>
          </w:p>
        </w:tc>
        <w:tc>
          <w:tcPr/>
          <w:p>
            <w:pPr>
              <w:pStyle w:val="Compact"/>
              <w:jc w:val="left"/>
            </w:pPr>
            <w:r>
              <w:t xml:space="preserve">2.56</w:t>
            </w:r>
          </w:p>
        </w:tc>
        <w:tc>
          <w:tcPr/>
          <w:p>
            <w:pPr>
              <w:pStyle w:val="Compact"/>
              <w:jc w:val="left"/>
            </w:pPr>
            <w:r>
              <w:t xml:space="preserve">1.89</w:t>
            </w:r>
          </w:p>
        </w:tc>
        <w:tc>
          <w:tcPr/>
          <w:p>
            <w:pPr>
              <w:pStyle w:val="Compact"/>
              <w:jc w:val="left"/>
            </w:pPr>
            <w:r>
              <w:t xml:space="preserve">16.9</w:t>
            </w:r>
          </w:p>
        </w:tc>
      </w:tr>
      <w:tr>
        <w:tc>
          <w:tcPr/>
          <w:p>
            <w:pPr>
              <w:pStyle w:val="Compact"/>
              <w:jc w:val="left"/>
            </w:pPr>
            <w:r>
              <w:t xml:space="preserve">Labor Income($M.)</w:t>
            </w:r>
          </w:p>
        </w:tc>
        <w:tc>
          <w:tcPr/>
          <w:p>
            <w:pPr>
              <w:pStyle w:val="Compact"/>
              <w:jc w:val="left"/>
            </w:pPr>
            <w:r>
              <w:t xml:space="preserve">7.8</w:t>
            </w:r>
          </w:p>
        </w:tc>
        <w:tc>
          <w:tcPr/>
          <w:p>
            <w:pPr>
              <w:pStyle w:val="Compact"/>
              <w:jc w:val="left"/>
            </w:pPr>
            <w:r>
              <w:t xml:space="preserve">1.62</w:t>
            </w:r>
          </w:p>
        </w:tc>
        <w:tc>
          <w:tcPr/>
          <w:p>
            <w:pPr>
              <w:pStyle w:val="Compact"/>
              <w:jc w:val="left"/>
            </w:pPr>
            <w:r>
              <w:t xml:space="preserve">0.76</w:t>
            </w:r>
          </w:p>
        </w:tc>
        <w:tc>
          <w:tcPr/>
          <w:p>
            <w:pPr>
              <w:pStyle w:val="Compact"/>
              <w:jc w:val="left"/>
            </w:pPr>
            <w:r>
              <w:t xml:space="preserve">10.18</w:t>
            </w:r>
          </w:p>
        </w:tc>
      </w:tr>
      <w:tr>
        <w:tc>
          <w:tcPr/>
          <w:p>
            <w:pPr>
              <w:pStyle w:val="Compact"/>
              <w:jc w:val="left"/>
            </w:pPr>
            <w:r>
              <w:t xml:space="preserve">Other Property Income($M.)</w:t>
            </w:r>
          </w:p>
        </w:tc>
        <w:tc>
          <w:tcPr/>
          <w:p>
            <w:pPr>
              <w:pStyle w:val="Compact"/>
              <w:jc w:val="left"/>
            </w:pPr>
            <w:r>
              <w:t xml:space="preserve">2.31</w:t>
            </w:r>
          </w:p>
        </w:tc>
        <w:tc>
          <w:tcPr/>
          <w:p>
            <w:pPr>
              <w:pStyle w:val="Compact"/>
              <w:jc w:val="left"/>
            </w:pPr>
            <w:r>
              <w:t xml:space="preserve">0.8</w:t>
            </w:r>
          </w:p>
        </w:tc>
        <w:tc>
          <w:tcPr/>
          <w:p>
            <w:pPr>
              <w:pStyle w:val="Compact"/>
              <w:jc w:val="left"/>
            </w:pPr>
            <w:r>
              <w:t xml:space="preserve">0.92</w:t>
            </w:r>
          </w:p>
        </w:tc>
        <w:tc>
          <w:tcPr/>
          <w:p>
            <w:pPr>
              <w:pStyle w:val="Compact"/>
              <w:jc w:val="left"/>
            </w:pPr>
            <w:r>
              <w:t xml:space="preserve">4.03</w:t>
            </w:r>
          </w:p>
        </w:tc>
      </w:tr>
      <w:tr>
        <w:tc>
          <w:tcPr/>
          <w:p>
            <w:pPr>
              <w:pStyle w:val="Compact"/>
              <w:jc w:val="left"/>
            </w:pPr>
            <w:r>
              <w:t xml:space="preserve">Indirect Business Tax($M.)</w:t>
            </w:r>
          </w:p>
        </w:tc>
        <w:tc>
          <w:tcPr/>
          <w:p>
            <w:pPr>
              <w:pStyle w:val="Compact"/>
              <w:jc w:val="left"/>
            </w:pPr>
            <w:r>
              <w:t xml:space="preserve">2.34</w:t>
            </w:r>
          </w:p>
        </w:tc>
        <w:tc>
          <w:tcPr/>
          <w:p>
            <w:pPr>
              <w:pStyle w:val="Compact"/>
              <w:jc w:val="left"/>
            </w:pPr>
            <w:r>
              <w:t xml:space="preserve">0.14</w:t>
            </w:r>
          </w:p>
        </w:tc>
        <w:tc>
          <w:tcPr/>
          <w:p>
            <w:pPr>
              <w:pStyle w:val="Compact"/>
              <w:jc w:val="left"/>
            </w:pPr>
            <w:r>
              <w:t xml:space="preserve">0.21</w:t>
            </w:r>
          </w:p>
        </w:tc>
        <w:tc>
          <w:tcPr/>
          <w:p>
            <w:pPr>
              <w:pStyle w:val="Compact"/>
              <w:jc w:val="left"/>
            </w:pPr>
            <w:r>
              <w:t xml:space="preserve">2.7</w:t>
            </w:r>
          </w:p>
        </w:tc>
      </w:tr>
    </w:tbl>
    <w:p>
      <w:r>
        <w:br w:type="page"/>
      </w:r>
    </w:p>
    <w:bookmarkEnd w:id="30"/>
    <w:bookmarkEnd w:id="31"/>
    <w:bookmarkStart w:id="32" w:name="summary"/>
    <w:p>
      <w:pPr>
        <w:pStyle w:val="Heading2"/>
      </w:pPr>
      <w:r>
        <w:t xml:space="preserve">Summary</w:t>
      </w:r>
    </w:p>
    <w:p>
      <w:pPr>
        <w:pStyle w:val="FirstParagraph"/>
      </w:pPr>
      <w:r>
        <w:t xml:space="preserve">The report provides a detailed description of the economic contribution that marine recreational fishing makes to the Nassau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Nassau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Nassau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Nassau County.</w:t>
      </w:r>
      <w:r>
        <w:t xml:space="preserve"> </w:t>
      </w:r>
      <w:r>
        <w:t xml:space="preserve">Nonetheless, we believe this report includes the most detailed accounting of the economic contributions associated with marine recreational fishing in Nassau County to date. This information should help inform understanding of this important recreational activity, and may be useful for making decisions that affect recreational fishing opportunities in Nassau County.</w:t>
      </w:r>
    </w:p>
    <w:p>
      <w:r>
        <w:br w:type="page"/>
      </w:r>
    </w:p>
    <w:bookmarkEnd w:id="32"/>
    <w:bookmarkStart w:id="39" w:name="references"/>
    <w:p>
      <w:pPr>
        <w:pStyle w:val="Heading2"/>
      </w:pPr>
      <w:r>
        <w:t xml:space="preserve">References</w:t>
      </w:r>
    </w:p>
    <w:bookmarkStart w:id="38" w:name="refs"/>
    <w:bookmarkStart w:id="34"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3">
        <w:r>
          <w:rPr>
            <w:rStyle w:val="Hyperlink"/>
          </w:rPr>
          <w:t xml:space="preserve">https://spo.nmfs.noaa.gov/content/tech-memo/economic-contribution-marine-angler-expenditures-fishing-trips-united-states-2017</w:t>
        </w:r>
      </w:hyperlink>
      <w:r>
        <w:t xml:space="preserve">.</w:t>
      </w:r>
    </w:p>
    <w:bookmarkEnd w:id="34"/>
    <w:bookmarkStart w:id="35"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5"/>
    <w:bookmarkStart w:id="36"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6"/>
    <w:bookmarkStart w:id="37"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ccourt@ufl.edu" TargetMode="External"/><Relationship Id="rId34"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hyperlink" Target="https://spo.nmfs.noaa.gov/content/tech-memo/economic-contribution-marine-angler-expenditures-fishing-trips-united-states-2017"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33" Target="https://spo.nmfs.noaa.gov/content/tech-memo/economic-contribution-marine-angler-expenditures-fishing-trips-united-states-2017" TargetMode="External" /><Relationship Type="http://schemas.openxmlformats.org/officeDocument/2006/relationships/hyperlink" Id="rId24"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FA7C71-DF89-403B-93B7-5D106ADDE17F}"/>
</file>

<file path=customXml/itemProps2.xml><?xml version="1.0" encoding="utf-8"?>
<ds:datastoreItem xmlns:ds="http://schemas.openxmlformats.org/officeDocument/2006/customXml" ds:itemID="{8DB1D445-7224-4B87-A0EE-FEF20BBC4576}"/>
</file>

<file path=customXml/itemProps3.xml><?xml version="1.0" encoding="utf-8"?>
<ds:datastoreItem xmlns:ds="http://schemas.openxmlformats.org/officeDocument/2006/customXml" ds:itemID="{F7AD7698-0C81-4B07-85BE-4B8A168377C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Nassau County</dc:title>
  <dc:creator>A data report for the Nassau County Tourist Development Council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dc:creator>
  <cp:keywords/>
  <dcterms:created xsi:type="dcterms:W3CDTF">2025-03-20T13:32:16Z</dcterms:created>
  <dcterms:modified xsi:type="dcterms:W3CDTF">2025-03-20T13:32:16Z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