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Palm Beach County</w:t>
      </w:r>
    </w:p>
    <w:p>
      <w:pPr>
        <w:pStyle w:val="Author"/>
      </w:pPr>
      <w:r>
        <w:t xml:space="preserve">Prepared for the Palm Beach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Vincent Encomio, Florida Sea Grant Extension Agent Martin and St. Lucie Counties.</w:t>
      </w:r>
      <w:r>
        <w:t xml:space="preserve"> </w:t>
      </w:r>
      <w:hyperlink r:id="rId21">
        <w:r>
          <w:rPr>
            <w:rStyle w:val="Hyperlink"/>
          </w:rPr>
          <w:t xml:space="preserve">vencomio@ufl.edu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Palm Beach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Palm Beach County as of 2024. It does not describe its economic value. Still, this summary may help inform discussions and decision making related to policy, management, or environmental changes in or around Palm Beach County that might impact recreational fishing activity, or when discussing similar changes that occur at a regional or state-wide scale but might affect Palm Beach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Palm Beach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Palm Beach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Palm Beach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Palm Beach County is given in the bottom right cell.</w:t>
      </w:r>
    </w:p>
    <w:p>
      <w:pPr>
        <w:pStyle w:val="TableCaption"/>
      </w:pPr>
      <w:r>
        <w:t xml:space="preserve">Palm Beach Marine Rec. Fishing Contribution, Industry Output</w:t>
      </w:r>
    </w:p>
    <w:tbl>
      <w:tblPr>
        <w:tblStyle w:val="Table"/>
        <w:tblW w:type="auto" w:w="0"/>
        <w:tblLook w:firstRow="1" w:lastRow="0" w:firstColumn="0" w:lastColumn="0" w:noHBand="0" w:noVBand="0" w:val="0020"/>
        <w:tblCaption w:val="Palm Beach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100.41</w:t>
            </w:r>
          </w:p>
        </w:tc>
        <w:tc>
          <w:tcPr/>
          <w:p>
            <w:pPr>
              <w:pStyle w:val="Compact"/>
              <w:jc w:val="left"/>
            </w:pPr>
            <w:r>
              <w:t xml:space="preserve">31.1</w:t>
            </w:r>
          </w:p>
        </w:tc>
        <w:tc>
          <w:tcPr/>
          <w:p>
            <w:pPr>
              <w:pStyle w:val="Compact"/>
              <w:jc w:val="left"/>
            </w:pPr>
            <w:r>
              <w:t xml:space="preserve">19.1</w:t>
            </w:r>
          </w:p>
        </w:tc>
        <w:tc>
          <w:tcPr/>
          <w:p>
            <w:pPr>
              <w:pStyle w:val="Compact"/>
              <w:jc w:val="left"/>
            </w:pPr>
            <w:r>
              <w:t xml:space="preserve">150.61</w:t>
            </w:r>
          </w:p>
        </w:tc>
      </w:tr>
      <w:tr>
        <w:tc>
          <w:tcPr/>
          <w:p>
            <w:pPr>
              <w:pStyle w:val="Compact"/>
              <w:jc w:val="left"/>
            </w:pPr>
            <w:r>
              <w:t xml:space="preserve">For-hire</w:t>
            </w:r>
          </w:p>
        </w:tc>
        <w:tc>
          <w:tcPr/>
          <w:p>
            <w:pPr>
              <w:pStyle w:val="Compact"/>
              <w:jc w:val="left"/>
            </w:pPr>
            <w:r>
              <w:t xml:space="preserve">19.33</w:t>
            </w:r>
          </w:p>
        </w:tc>
        <w:tc>
          <w:tcPr/>
          <w:p>
            <w:pPr>
              <w:pStyle w:val="Compact"/>
              <w:jc w:val="left"/>
            </w:pPr>
            <w:r>
              <w:t xml:space="preserve">4.01</w:t>
            </w:r>
          </w:p>
        </w:tc>
        <w:tc>
          <w:tcPr/>
          <w:p>
            <w:pPr>
              <w:pStyle w:val="Compact"/>
              <w:jc w:val="left"/>
            </w:pPr>
            <w:r>
              <w:t xml:space="preserve">6.63</w:t>
            </w:r>
          </w:p>
        </w:tc>
        <w:tc>
          <w:tcPr/>
          <w:p>
            <w:pPr>
              <w:pStyle w:val="Compact"/>
              <w:jc w:val="left"/>
            </w:pPr>
            <w:r>
              <w:t xml:space="preserve">29.97</w:t>
            </w:r>
          </w:p>
        </w:tc>
      </w:tr>
      <w:tr>
        <w:tc>
          <w:tcPr/>
          <w:p>
            <w:pPr>
              <w:pStyle w:val="Compact"/>
              <w:jc w:val="left"/>
            </w:pPr>
            <w:r>
              <w:t xml:space="preserve">Private Vessel</w:t>
            </w:r>
          </w:p>
        </w:tc>
        <w:tc>
          <w:tcPr/>
          <w:p>
            <w:pPr>
              <w:pStyle w:val="Compact"/>
              <w:jc w:val="left"/>
            </w:pPr>
            <w:r>
              <w:t xml:space="preserve">38.11</w:t>
            </w:r>
          </w:p>
        </w:tc>
        <w:tc>
          <w:tcPr/>
          <w:p>
            <w:pPr>
              <w:pStyle w:val="Compact"/>
              <w:jc w:val="left"/>
            </w:pPr>
            <w:r>
              <w:t xml:space="preserve">13.01</w:t>
            </w:r>
          </w:p>
        </w:tc>
        <w:tc>
          <w:tcPr/>
          <w:p>
            <w:pPr>
              <w:pStyle w:val="Compact"/>
              <w:jc w:val="left"/>
            </w:pPr>
            <w:r>
              <w:t xml:space="preserve">7.91</w:t>
            </w:r>
          </w:p>
        </w:tc>
        <w:tc>
          <w:tcPr/>
          <w:p>
            <w:pPr>
              <w:pStyle w:val="Compact"/>
              <w:jc w:val="left"/>
            </w:pPr>
            <w:r>
              <w:t xml:space="preserve">59.03</w:t>
            </w:r>
          </w:p>
        </w:tc>
      </w:tr>
      <w:tr>
        <w:tc>
          <w:tcPr/>
          <w:p>
            <w:pPr>
              <w:pStyle w:val="Compact"/>
              <w:jc w:val="left"/>
            </w:pPr>
            <w:r>
              <w:t xml:space="preserve">All Mar. Rec. Fishing</w:t>
            </w:r>
          </w:p>
        </w:tc>
        <w:tc>
          <w:tcPr/>
          <w:p>
            <w:pPr>
              <w:pStyle w:val="Compact"/>
              <w:jc w:val="left"/>
            </w:pPr>
            <w:r>
              <w:t xml:space="preserve">157.85</w:t>
            </w:r>
          </w:p>
        </w:tc>
        <w:tc>
          <w:tcPr/>
          <w:p>
            <w:pPr>
              <w:pStyle w:val="Compact"/>
              <w:jc w:val="left"/>
            </w:pPr>
            <w:r>
              <w:t xml:space="preserve">48.12</w:t>
            </w:r>
          </w:p>
        </w:tc>
        <w:tc>
          <w:tcPr/>
          <w:p>
            <w:pPr>
              <w:pStyle w:val="Compact"/>
              <w:jc w:val="left"/>
            </w:pPr>
            <w:r>
              <w:t xml:space="preserve">33.64</w:t>
            </w:r>
          </w:p>
        </w:tc>
        <w:tc>
          <w:tcPr/>
          <w:p>
            <w:pPr>
              <w:pStyle w:val="Compact"/>
              <w:jc w:val="left"/>
            </w:pPr>
            <w:r>
              <w:t xml:space="preserve">239.61</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Palm Beach County is given in the bottom right cell.</w:t>
      </w:r>
    </w:p>
    <w:p>
      <w:pPr>
        <w:pStyle w:val="TableCaption"/>
      </w:pPr>
      <w:r>
        <w:t xml:space="preserve">Palm Beach Marine Rec. Fishing Contribution, Employment</w:t>
      </w:r>
    </w:p>
    <w:tbl>
      <w:tblPr>
        <w:tblStyle w:val="Table"/>
        <w:tblW w:type="auto" w:w="0"/>
        <w:tblLook w:firstRow="1" w:lastRow="0" w:firstColumn="0" w:lastColumn="0" w:noHBand="0" w:noVBand="0" w:val="0020"/>
        <w:tblCaption w:val="Palm Beach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1010</w:t>
            </w:r>
          </w:p>
        </w:tc>
        <w:tc>
          <w:tcPr/>
          <w:p>
            <w:pPr>
              <w:pStyle w:val="Compact"/>
              <w:jc w:val="left"/>
            </w:pPr>
            <w:r>
              <w:t xml:space="preserve">163</w:t>
            </w:r>
          </w:p>
        </w:tc>
        <w:tc>
          <w:tcPr/>
          <w:p>
            <w:pPr>
              <w:pStyle w:val="Compact"/>
              <w:jc w:val="left"/>
            </w:pPr>
            <w:r>
              <w:t xml:space="preserve">107</w:t>
            </w:r>
          </w:p>
        </w:tc>
        <w:tc>
          <w:tcPr/>
          <w:p>
            <w:pPr>
              <w:pStyle w:val="Compact"/>
              <w:jc w:val="left"/>
            </w:pPr>
            <w:r>
              <w:t xml:space="preserve">1280</w:t>
            </w:r>
          </w:p>
        </w:tc>
      </w:tr>
      <w:tr>
        <w:tc>
          <w:tcPr/>
          <w:p>
            <w:pPr>
              <w:pStyle w:val="Compact"/>
              <w:jc w:val="left"/>
            </w:pPr>
            <w:r>
              <w:t xml:space="preserve">For-hire</w:t>
            </w:r>
          </w:p>
        </w:tc>
        <w:tc>
          <w:tcPr/>
          <w:p>
            <w:pPr>
              <w:pStyle w:val="Compact"/>
              <w:jc w:val="left"/>
            </w:pPr>
            <w:r>
              <w:t xml:space="preserve">198</w:t>
            </w:r>
          </w:p>
        </w:tc>
        <w:tc>
          <w:tcPr/>
          <w:p>
            <w:pPr>
              <w:pStyle w:val="Compact"/>
              <w:jc w:val="left"/>
            </w:pPr>
            <w:r>
              <w:t xml:space="preserve">24</w:t>
            </w:r>
          </w:p>
        </w:tc>
        <w:tc>
          <w:tcPr/>
          <w:p>
            <w:pPr>
              <w:pStyle w:val="Compact"/>
              <w:jc w:val="left"/>
            </w:pPr>
            <w:r>
              <w:t xml:space="preserve">37</w:t>
            </w:r>
          </w:p>
        </w:tc>
        <w:tc>
          <w:tcPr/>
          <w:p>
            <w:pPr>
              <w:pStyle w:val="Compact"/>
              <w:jc w:val="left"/>
            </w:pPr>
            <w:r>
              <w:t xml:space="preserve">260</w:t>
            </w:r>
          </w:p>
        </w:tc>
      </w:tr>
      <w:tr>
        <w:tc>
          <w:tcPr/>
          <w:p>
            <w:pPr>
              <w:pStyle w:val="Compact"/>
              <w:jc w:val="left"/>
            </w:pPr>
            <w:r>
              <w:t xml:space="preserve">Private Vessel</w:t>
            </w:r>
          </w:p>
        </w:tc>
        <w:tc>
          <w:tcPr/>
          <w:p>
            <w:pPr>
              <w:pStyle w:val="Compact"/>
              <w:jc w:val="left"/>
            </w:pPr>
            <w:r>
              <w:t xml:space="preserve">327</w:t>
            </w:r>
          </w:p>
        </w:tc>
        <w:tc>
          <w:tcPr/>
          <w:p>
            <w:pPr>
              <w:pStyle w:val="Compact"/>
              <w:jc w:val="left"/>
            </w:pPr>
            <w:r>
              <w:t xml:space="preserve">69</w:t>
            </w:r>
          </w:p>
        </w:tc>
        <w:tc>
          <w:tcPr/>
          <w:p>
            <w:pPr>
              <w:pStyle w:val="Compact"/>
              <w:jc w:val="left"/>
            </w:pPr>
            <w:r>
              <w:t xml:space="preserve">44</w:t>
            </w:r>
          </w:p>
        </w:tc>
        <w:tc>
          <w:tcPr/>
          <w:p>
            <w:pPr>
              <w:pStyle w:val="Compact"/>
              <w:jc w:val="left"/>
            </w:pPr>
            <w:r>
              <w:t xml:space="preserve">440</w:t>
            </w:r>
          </w:p>
        </w:tc>
      </w:tr>
      <w:tr>
        <w:tc>
          <w:tcPr/>
          <w:p>
            <w:pPr>
              <w:pStyle w:val="Compact"/>
              <w:jc w:val="left"/>
            </w:pPr>
            <w:r>
              <w:t xml:space="preserve">All Mar. Rec. Fishing</w:t>
            </w:r>
          </w:p>
        </w:tc>
        <w:tc>
          <w:tcPr/>
          <w:p>
            <w:pPr>
              <w:pStyle w:val="Compact"/>
              <w:jc w:val="left"/>
            </w:pPr>
            <w:r>
              <w:t xml:space="preserve">1535</w:t>
            </w:r>
          </w:p>
        </w:tc>
        <w:tc>
          <w:tcPr/>
          <w:p>
            <w:pPr>
              <w:pStyle w:val="Compact"/>
              <w:jc w:val="left"/>
            </w:pPr>
            <w:r>
              <w:t xml:space="preserve">256</w:t>
            </w:r>
          </w:p>
        </w:tc>
        <w:tc>
          <w:tcPr/>
          <w:p>
            <w:pPr>
              <w:pStyle w:val="Compact"/>
              <w:jc w:val="left"/>
            </w:pPr>
            <w:r>
              <w:t xml:space="preserve">188</w:t>
            </w:r>
          </w:p>
        </w:tc>
        <w:tc>
          <w:tcPr/>
          <w:p>
            <w:pPr>
              <w:pStyle w:val="Compact"/>
              <w:jc w:val="left"/>
            </w:pPr>
            <w:r>
              <w:t xml:space="preserve">1980</w:t>
            </w:r>
          </w:p>
        </w:tc>
      </w:tr>
    </w:tbl>
    <w:bookmarkEnd w:id="24"/>
    <w:bookmarkStart w:id="25" w:name="summary"/>
    <w:p>
      <w:pPr>
        <w:pStyle w:val="Heading3"/>
      </w:pPr>
      <w:r>
        <w:t xml:space="preserve">Summary</w:t>
      </w:r>
    </w:p>
    <w:p>
      <w:pPr>
        <w:pStyle w:val="FirstParagraph"/>
      </w:pPr>
      <w:r>
        <w:t xml:space="preserve">This summary shows that marine recreational fishing in Palm Beach County contributed $239.61M and 1980 jobs to the Palm Beach County economy in 2024. Again, it is critical to understand that this is not economic value, but nonetheless should be helpful for understanding the economic importance of marine recreational fishing to Palm Beach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vencomio@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vencomio@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95AB1D-F421-4FA2-BCEF-C6D822440396}"/>
</file>

<file path=customXml/itemProps2.xml><?xml version="1.0" encoding="utf-8"?>
<ds:datastoreItem xmlns:ds="http://schemas.openxmlformats.org/officeDocument/2006/customXml" ds:itemID="{267572D0-10A4-4DB9-A75D-185BE2D685F6}"/>
</file>

<file path=customXml/itemProps3.xml><?xml version="1.0" encoding="utf-8"?>
<ds:datastoreItem xmlns:ds="http://schemas.openxmlformats.org/officeDocument/2006/customXml" ds:itemID="{FF0F4C00-CD9E-40DA-B19D-43532442A336}"/>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Palm Beach County</dc:title>
  <dc:creator>Prepared for the Palm Beach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Vincent Encomio, Florida Sea Grant Extension Agent Martin and St. Lucie Counties. vencomio@ufl.edu</dc:creator>
  <cp:keywords/>
  <dcterms:created xsi:type="dcterms:W3CDTF">2025-03-19T19:28:52Z</dcterms:created>
  <dcterms:modified xsi:type="dcterms:W3CDTF">2025-03-19T19:28:52Z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