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Pasco County</w:t>
      </w:r>
    </w:p>
    <w:p>
      <w:pPr>
        <w:pStyle w:val="Author"/>
      </w:pPr>
      <w:r>
        <w:t xml:space="preserve">Prepared for the Pasco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Megan Moore, Florida Sea Grant Extension Agent Pasco County.</w:t>
      </w:r>
      <w:r>
        <w:t xml:space="preserve"> </w:t>
      </w:r>
      <w:hyperlink r:id="rId21">
        <w:r>
          <w:rPr>
            <w:rStyle w:val="Hyperlink"/>
          </w:rPr>
          <w:t xml:space="preserve">me.moore@ufl.edu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Pasco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Pasco County as of 2024. It does not describe its economic value. Still, this summary may help inform discussions and decision making related to policy, management, or environmental changes in or around Pasco County that might impact recreational fishing activity, or when discussing similar changes that occur at a regional or state-wide scale but might affect Pasco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Pasco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Pasco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Pasco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Pasco County is given in the bottom right cell.</w:t>
      </w:r>
    </w:p>
    <w:p>
      <w:pPr>
        <w:pStyle w:val="TableCaption"/>
      </w:pPr>
      <w:r>
        <w:t xml:space="preserve">Pasco Marine Rec. Fishing Contribution, Industry Output</w:t>
      </w:r>
    </w:p>
    <w:tbl>
      <w:tblPr>
        <w:tblStyle w:val="Table"/>
        <w:tblW w:type="auto" w:w="0"/>
        <w:tblLook w:firstRow="1" w:lastRow="0" w:firstColumn="0" w:lastColumn="0" w:noHBand="0" w:noVBand="0" w:val="0020"/>
        <w:tblCaption w:val="Pasco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19.88</w:t>
            </w:r>
          </w:p>
        </w:tc>
        <w:tc>
          <w:tcPr/>
          <w:p>
            <w:pPr>
              <w:pStyle w:val="Compact"/>
              <w:jc w:val="left"/>
            </w:pPr>
            <w:r>
              <w:t xml:space="preserve">4.8</w:t>
            </w:r>
          </w:p>
        </w:tc>
        <w:tc>
          <w:tcPr/>
          <w:p>
            <w:pPr>
              <w:pStyle w:val="Compact"/>
              <w:jc w:val="left"/>
            </w:pPr>
            <w:r>
              <w:t xml:space="preserve">3.28</w:t>
            </w:r>
          </w:p>
        </w:tc>
        <w:tc>
          <w:tcPr/>
          <w:p>
            <w:pPr>
              <w:pStyle w:val="Compact"/>
              <w:jc w:val="left"/>
            </w:pPr>
            <w:r>
              <w:t xml:space="preserve">27.96</w:t>
            </w:r>
          </w:p>
        </w:tc>
      </w:tr>
      <w:tr>
        <w:tc>
          <w:tcPr/>
          <w:p>
            <w:pPr>
              <w:pStyle w:val="Compact"/>
              <w:jc w:val="left"/>
            </w:pPr>
            <w:r>
              <w:t xml:space="preserve">For-hire</w:t>
            </w:r>
          </w:p>
        </w:tc>
        <w:tc>
          <w:tcPr/>
          <w:p>
            <w:pPr>
              <w:pStyle w:val="Compact"/>
              <w:jc w:val="left"/>
            </w:pPr>
            <w:r>
              <w:t xml:space="preserve">3.64</w:t>
            </w:r>
          </w:p>
        </w:tc>
        <w:tc>
          <w:tcPr/>
          <w:p>
            <w:pPr>
              <w:pStyle w:val="Compact"/>
              <w:jc w:val="left"/>
            </w:pPr>
            <w:r>
              <w:t xml:space="preserve">0.72</w:t>
            </w:r>
          </w:p>
        </w:tc>
        <w:tc>
          <w:tcPr/>
          <w:p>
            <w:pPr>
              <w:pStyle w:val="Compact"/>
              <w:jc w:val="left"/>
            </w:pPr>
            <w:r>
              <w:t xml:space="preserve">1.16</w:t>
            </w:r>
          </w:p>
        </w:tc>
        <w:tc>
          <w:tcPr/>
          <w:p>
            <w:pPr>
              <w:pStyle w:val="Compact"/>
              <w:jc w:val="left"/>
            </w:pPr>
            <w:r>
              <w:t xml:space="preserve">5.53</w:t>
            </w:r>
          </w:p>
        </w:tc>
      </w:tr>
      <w:tr>
        <w:tc>
          <w:tcPr/>
          <w:p>
            <w:pPr>
              <w:pStyle w:val="Compact"/>
              <w:jc w:val="left"/>
            </w:pPr>
            <w:r>
              <w:t xml:space="preserve">Private Vessel</w:t>
            </w:r>
          </w:p>
        </w:tc>
        <w:tc>
          <w:tcPr/>
          <w:p>
            <w:pPr>
              <w:pStyle w:val="Compact"/>
              <w:jc w:val="left"/>
            </w:pPr>
            <w:r>
              <w:t xml:space="preserve">18.55</w:t>
            </w:r>
          </w:p>
        </w:tc>
        <w:tc>
          <w:tcPr/>
          <w:p>
            <w:pPr>
              <w:pStyle w:val="Compact"/>
              <w:jc w:val="left"/>
            </w:pPr>
            <w:r>
              <w:t xml:space="preserve">4.44</w:t>
            </w:r>
          </w:p>
        </w:tc>
        <w:tc>
          <w:tcPr/>
          <w:p>
            <w:pPr>
              <w:pStyle w:val="Compact"/>
              <w:jc w:val="left"/>
            </w:pPr>
            <w:r>
              <w:t xml:space="preserve">3.55</w:t>
            </w:r>
          </w:p>
        </w:tc>
        <w:tc>
          <w:tcPr/>
          <w:p>
            <w:pPr>
              <w:pStyle w:val="Compact"/>
              <w:jc w:val="left"/>
            </w:pPr>
            <w:r>
              <w:t xml:space="preserve">26.54</w:t>
            </w:r>
          </w:p>
        </w:tc>
      </w:tr>
      <w:tr>
        <w:tc>
          <w:tcPr/>
          <w:p>
            <w:pPr>
              <w:pStyle w:val="Compact"/>
              <w:jc w:val="left"/>
            </w:pPr>
            <w:r>
              <w:t xml:space="preserve">All Mar. Rec. Fishing</w:t>
            </w:r>
          </w:p>
        </w:tc>
        <w:tc>
          <w:tcPr/>
          <w:p>
            <w:pPr>
              <w:pStyle w:val="Compact"/>
              <w:jc w:val="left"/>
            </w:pPr>
            <w:r>
              <w:t xml:space="preserve">42.07</w:t>
            </w:r>
          </w:p>
        </w:tc>
        <w:tc>
          <w:tcPr/>
          <w:p>
            <w:pPr>
              <w:pStyle w:val="Compact"/>
              <w:jc w:val="left"/>
            </w:pPr>
            <w:r>
              <w:t xml:space="preserve">9.96</w:t>
            </w:r>
          </w:p>
        </w:tc>
        <w:tc>
          <w:tcPr/>
          <w:p>
            <w:pPr>
              <w:pStyle w:val="Compact"/>
              <w:jc w:val="left"/>
            </w:pPr>
            <w:r>
              <w:t xml:space="preserve">7.99</w:t>
            </w:r>
          </w:p>
        </w:tc>
        <w:tc>
          <w:tcPr/>
          <w:p>
            <w:pPr>
              <w:pStyle w:val="Compact"/>
              <w:jc w:val="left"/>
            </w:pPr>
            <w:r>
              <w:t xml:space="preserve">60.03</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Pasco County is given in the bottom right cell.</w:t>
      </w:r>
    </w:p>
    <w:p>
      <w:pPr>
        <w:pStyle w:val="TableCaption"/>
      </w:pPr>
      <w:r>
        <w:t xml:space="preserve">Pasco Marine Rec. Fishing Contribution, Employment</w:t>
      </w:r>
    </w:p>
    <w:tbl>
      <w:tblPr>
        <w:tblStyle w:val="Table"/>
        <w:tblW w:type="auto" w:w="0"/>
        <w:tblLook w:firstRow="1" w:lastRow="0" w:firstColumn="0" w:lastColumn="0" w:noHBand="0" w:noVBand="0" w:val="0020"/>
        <w:tblCaption w:val="Pasco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213</w:t>
            </w:r>
          </w:p>
        </w:tc>
        <w:tc>
          <w:tcPr/>
          <w:p>
            <w:pPr>
              <w:pStyle w:val="Compact"/>
              <w:jc w:val="left"/>
            </w:pPr>
            <w:r>
              <w:t xml:space="preserve">32</w:t>
            </w:r>
          </w:p>
        </w:tc>
        <w:tc>
          <w:tcPr/>
          <w:p>
            <w:pPr>
              <w:pStyle w:val="Compact"/>
              <w:jc w:val="left"/>
            </w:pPr>
            <w:r>
              <w:t xml:space="preserve">20</w:t>
            </w:r>
          </w:p>
        </w:tc>
        <w:tc>
          <w:tcPr/>
          <w:p>
            <w:pPr>
              <w:pStyle w:val="Compact"/>
              <w:jc w:val="left"/>
            </w:pPr>
            <w:r>
              <w:t xml:space="preserve">266</w:t>
            </w:r>
          </w:p>
        </w:tc>
      </w:tr>
      <w:tr>
        <w:tc>
          <w:tcPr/>
          <w:p>
            <w:pPr>
              <w:pStyle w:val="Compact"/>
              <w:jc w:val="left"/>
            </w:pPr>
            <w:r>
              <w:t xml:space="preserve">For-hire</w:t>
            </w:r>
          </w:p>
        </w:tc>
        <w:tc>
          <w:tcPr/>
          <w:p>
            <w:pPr>
              <w:pStyle w:val="Compact"/>
              <w:jc w:val="left"/>
            </w:pPr>
            <w:r>
              <w:t xml:space="preserve">40</w:t>
            </w:r>
          </w:p>
        </w:tc>
        <w:tc>
          <w:tcPr/>
          <w:p>
            <w:pPr>
              <w:pStyle w:val="Compact"/>
              <w:jc w:val="left"/>
            </w:pPr>
            <w:r>
              <w:t xml:space="preserve">5</w:t>
            </w:r>
          </w:p>
        </w:tc>
        <w:tc>
          <w:tcPr/>
          <w:p>
            <w:pPr>
              <w:pStyle w:val="Compact"/>
              <w:jc w:val="left"/>
            </w:pPr>
            <w:r>
              <w:t xml:space="preserve">7</w:t>
            </w:r>
          </w:p>
        </w:tc>
        <w:tc>
          <w:tcPr/>
          <w:p>
            <w:pPr>
              <w:pStyle w:val="Compact"/>
              <w:jc w:val="left"/>
            </w:pPr>
            <w:r>
              <w:t xml:space="preserve">52</w:t>
            </w:r>
          </w:p>
        </w:tc>
      </w:tr>
      <w:tr>
        <w:tc>
          <w:tcPr/>
          <w:p>
            <w:pPr>
              <w:pStyle w:val="Compact"/>
              <w:jc w:val="left"/>
            </w:pPr>
            <w:r>
              <w:t xml:space="preserve">Private Vessel</w:t>
            </w:r>
          </w:p>
        </w:tc>
        <w:tc>
          <w:tcPr/>
          <w:p>
            <w:pPr>
              <w:pStyle w:val="Compact"/>
              <w:jc w:val="left"/>
            </w:pPr>
            <w:r>
              <w:t xml:space="preserve">168</w:t>
            </w:r>
          </w:p>
        </w:tc>
        <w:tc>
          <w:tcPr/>
          <w:p>
            <w:pPr>
              <w:pStyle w:val="Compact"/>
              <w:jc w:val="left"/>
            </w:pPr>
            <w:r>
              <w:t xml:space="preserve">32</w:t>
            </w:r>
          </w:p>
        </w:tc>
        <w:tc>
          <w:tcPr/>
          <w:p>
            <w:pPr>
              <w:pStyle w:val="Compact"/>
              <w:jc w:val="left"/>
            </w:pPr>
            <w:r>
              <w:t xml:space="preserve">22</w:t>
            </w:r>
          </w:p>
        </w:tc>
        <w:tc>
          <w:tcPr/>
          <w:p>
            <w:pPr>
              <w:pStyle w:val="Compact"/>
              <w:jc w:val="left"/>
            </w:pPr>
            <w:r>
              <w:t xml:space="preserve">222</w:t>
            </w:r>
          </w:p>
        </w:tc>
      </w:tr>
      <w:tr>
        <w:tc>
          <w:tcPr/>
          <w:p>
            <w:pPr>
              <w:pStyle w:val="Compact"/>
              <w:jc w:val="left"/>
            </w:pPr>
            <w:r>
              <w:t xml:space="preserve">All Mar. Rec. Fishing</w:t>
            </w:r>
          </w:p>
        </w:tc>
        <w:tc>
          <w:tcPr/>
          <w:p>
            <w:pPr>
              <w:pStyle w:val="Compact"/>
              <w:jc w:val="left"/>
            </w:pPr>
            <w:r>
              <w:t xml:space="preserve">421</w:t>
            </w:r>
          </w:p>
        </w:tc>
        <w:tc>
          <w:tcPr/>
          <w:p>
            <w:pPr>
              <w:pStyle w:val="Compact"/>
              <w:jc w:val="left"/>
            </w:pPr>
            <w:r>
              <w:t xml:space="preserve">69</w:t>
            </w:r>
          </w:p>
        </w:tc>
        <w:tc>
          <w:tcPr/>
          <w:p>
            <w:pPr>
              <w:pStyle w:val="Compact"/>
              <w:jc w:val="left"/>
            </w:pPr>
            <w:r>
              <w:t xml:space="preserve">49</w:t>
            </w:r>
          </w:p>
        </w:tc>
        <w:tc>
          <w:tcPr/>
          <w:p>
            <w:pPr>
              <w:pStyle w:val="Compact"/>
              <w:jc w:val="left"/>
            </w:pPr>
            <w:r>
              <w:t xml:space="preserve">540</w:t>
            </w:r>
          </w:p>
        </w:tc>
      </w:tr>
    </w:tbl>
    <w:bookmarkEnd w:id="24"/>
    <w:bookmarkStart w:id="25" w:name="summary"/>
    <w:p>
      <w:pPr>
        <w:pStyle w:val="Heading3"/>
      </w:pPr>
      <w:r>
        <w:t xml:space="preserve">Summary</w:t>
      </w:r>
    </w:p>
    <w:p>
      <w:pPr>
        <w:pStyle w:val="FirstParagraph"/>
      </w:pPr>
      <w:r>
        <w:t xml:space="preserve">This summary shows that marine recreational fishing in Pasco County contributed $60.03M and 540 jobs to the Pasco County economy in 2024. Again, it is critical to understand that this is not economic value, but nonetheless should be helpful for understanding the economic importance of marine recreational fishing to Pasco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me.moore@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me.moore@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33D305-C777-4934-94D2-C86E504CD6DB}"/>
</file>

<file path=customXml/itemProps2.xml><?xml version="1.0" encoding="utf-8"?>
<ds:datastoreItem xmlns:ds="http://schemas.openxmlformats.org/officeDocument/2006/customXml" ds:itemID="{8C7AA701-54CB-4337-BED2-62FEEEFFC304}"/>
</file>

<file path=customXml/itemProps3.xml><?xml version="1.0" encoding="utf-8"?>
<ds:datastoreItem xmlns:ds="http://schemas.openxmlformats.org/officeDocument/2006/customXml" ds:itemID="{5A905B24-5574-4196-B11E-A661D3A5BF6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Pasco County</dc:title>
  <dc:creator>Prepared for the Pasco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Megan Moore, Florida Sea Grant Extension Agent Pasco County. me.moore@ufl.edu</dc:creator>
  <cp:keywords/>
  <dcterms:created xsi:type="dcterms:W3CDTF">2025-03-19T19:28:57Z</dcterms:created>
  <dcterms:modified xsi:type="dcterms:W3CDTF">2025-03-19T19:28:57Z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