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Pinellas County</w:t>
      </w:r>
    </w:p>
    <w:p>
      <w:pPr>
        <w:pStyle w:val="Author"/>
      </w:pPr>
      <w:r>
        <w:t xml:space="preserve">Prepared for the Pinellas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Katie Mastenbrook, Florida Sea Grant Extension Agent Pinellas County.</w:t>
      </w:r>
      <w:r>
        <w:t xml:space="preserve"> </w:t>
      </w:r>
      <w:hyperlink r:id="rId21">
        <w:r>
          <w:rPr>
            <w:rStyle w:val="Hyperlink"/>
          </w:rPr>
          <w:t xml:space="preserve">k.mastenbrook@ufl.edu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Pinellas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Pinellas County as of 2024. It does not describe its economic value. Still, this summary may help inform discussions and decision making related to policy, management, or environmental changes in or around Pinellas County that might impact recreational fishing activity, or when discussing similar changes that occur at a regional or state-wide scale but might affect Pinellas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Pinellas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Pinellas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Pinellas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Pinellas County is given in the bottom right cell.</w:t>
      </w:r>
    </w:p>
    <w:p>
      <w:pPr>
        <w:pStyle w:val="TableCaption"/>
      </w:pPr>
      <w:r>
        <w:t xml:space="preserve">Pinellas Marine Rec. Fishing Contribution, Industry Output</w:t>
      </w:r>
    </w:p>
    <w:tbl>
      <w:tblPr>
        <w:tblStyle w:val="Table"/>
        <w:tblW w:type="auto" w:w="0"/>
        <w:tblLook w:firstRow="1" w:lastRow="0" w:firstColumn="0" w:lastColumn="0" w:noHBand="0" w:noVBand="0" w:val="0020"/>
        <w:tblCaption w:val="Pinellas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107.48</w:t>
            </w:r>
          </w:p>
        </w:tc>
        <w:tc>
          <w:tcPr/>
          <w:p>
            <w:pPr>
              <w:pStyle w:val="Compact"/>
              <w:jc w:val="left"/>
            </w:pPr>
            <w:r>
              <w:t xml:space="preserve">41.52</w:t>
            </w:r>
          </w:p>
        </w:tc>
        <w:tc>
          <w:tcPr/>
          <w:p>
            <w:pPr>
              <w:pStyle w:val="Compact"/>
              <w:jc w:val="left"/>
            </w:pPr>
            <w:r>
              <w:t xml:space="preserve">32.86</w:t>
            </w:r>
          </w:p>
        </w:tc>
        <w:tc>
          <w:tcPr/>
          <w:p>
            <w:pPr>
              <w:pStyle w:val="Compact"/>
              <w:jc w:val="left"/>
            </w:pPr>
            <w:r>
              <w:t xml:space="preserve">181.86</w:t>
            </w:r>
          </w:p>
        </w:tc>
      </w:tr>
      <w:tr>
        <w:tc>
          <w:tcPr/>
          <w:p>
            <w:pPr>
              <w:pStyle w:val="Compact"/>
              <w:jc w:val="left"/>
            </w:pPr>
            <w:r>
              <w:t xml:space="preserve">For-hire</w:t>
            </w:r>
          </w:p>
        </w:tc>
        <w:tc>
          <w:tcPr/>
          <w:p>
            <w:pPr>
              <w:pStyle w:val="Compact"/>
              <w:jc w:val="left"/>
            </w:pPr>
            <w:r>
              <w:t xml:space="preserve">49.12</w:t>
            </w:r>
          </w:p>
        </w:tc>
        <w:tc>
          <w:tcPr/>
          <w:p>
            <w:pPr>
              <w:pStyle w:val="Compact"/>
              <w:jc w:val="left"/>
            </w:pPr>
            <w:r>
              <w:t xml:space="preserve">18.04</w:t>
            </w:r>
          </w:p>
        </w:tc>
        <w:tc>
          <w:tcPr/>
          <w:p>
            <w:pPr>
              <w:pStyle w:val="Compact"/>
              <w:jc w:val="left"/>
            </w:pPr>
            <w:r>
              <w:t xml:space="preserve">25.64</w:t>
            </w:r>
          </w:p>
        </w:tc>
        <w:tc>
          <w:tcPr/>
          <w:p>
            <w:pPr>
              <w:pStyle w:val="Compact"/>
              <w:jc w:val="left"/>
            </w:pPr>
            <w:r>
              <w:t xml:space="preserve">92.8</w:t>
            </w:r>
          </w:p>
        </w:tc>
      </w:tr>
      <w:tr>
        <w:tc>
          <w:tcPr/>
          <w:p>
            <w:pPr>
              <w:pStyle w:val="Compact"/>
              <w:jc w:val="left"/>
            </w:pPr>
            <w:r>
              <w:t xml:space="preserve">Private Vessel</w:t>
            </w:r>
          </w:p>
        </w:tc>
        <w:tc>
          <w:tcPr/>
          <w:p>
            <w:pPr>
              <w:pStyle w:val="Compact"/>
              <w:jc w:val="left"/>
            </w:pPr>
            <w:r>
              <w:t xml:space="preserve">227.5</w:t>
            </w:r>
          </w:p>
        </w:tc>
        <w:tc>
          <w:tcPr/>
          <w:p>
            <w:pPr>
              <w:pStyle w:val="Compact"/>
              <w:jc w:val="left"/>
            </w:pPr>
            <w:r>
              <w:t xml:space="preserve">72.76</w:t>
            </w:r>
          </w:p>
        </w:tc>
        <w:tc>
          <w:tcPr/>
          <w:p>
            <w:pPr>
              <w:pStyle w:val="Compact"/>
              <w:jc w:val="left"/>
            </w:pPr>
            <w:r>
              <w:t xml:space="preserve">61.22</w:t>
            </w:r>
          </w:p>
        </w:tc>
        <w:tc>
          <w:tcPr/>
          <w:p>
            <w:pPr>
              <w:pStyle w:val="Compact"/>
              <w:jc w:val="left"/>
            </w:pPr>
            <w:r>
              <w:t xml:space="preserve">361.48</w:t>
            </w:r>
          </w:p>
        </w:tc>
      </w:tr>
      <w:tr>
        <w:tc>
          <w:tcPr/>
          <w:p>
            <w:pPr>
              <w:pStyle w:val="Compact"/>
              <w:jc w:val="left"/>
            </w:pPr>
            <w:r>
              <w:t xml:space="preserve">All Mar. Rec. Fishing</w:t>
            </w:r>
          </w:p>
        </w:tc>
        <w:tc>
          <w:tcPr/>
          <w:p>
            <w:pPr>
              <w:pStyle w:val="Compact"/>
              <w:jc w:val="left"/>
            </w:pPr>
            <w:r>
              <w:t xml:space="preserve">384.1</w:t>
            </w:r>
          </w:p>
        </w:tc>
        <w:tc>
          <w:tcPr/>
          <w:p>
            <w:pPr>
              <w:pStyle w:val="Compact"/>
              <w:jc w:val="left"/>
            </w:pPr>
            <w:r>
              <w:t xml:space="preserve">132.32</w:t>
            </w:r>
          </w:p>
        </w:tc>
        <w:tc>
          <w:tcPr/>
          <w:p>
            <w:pPr>
              <w:pStyle w:val="Compact"/>
              <w:jc w:val="left"/>
            </w:pPr>
            <w:r>
              <w:t xml:space="preserve">119.72</w:t>
            </w:r>
          </w:p>
        </w:tc>
        <w:tc>
          <w:tcPr/>
          <w:p>
            <w:pPr>
              <w:pStyle w:val="Compact"/>
              <w:jc w:val="left"/>
            </w:pPr>
            <w:r>
              <w:t xml:space="preserve">636.14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Pinellas County is given in the bottom right cell.</w:t>
      </w:r>
    </w:p>
    <w:p>
      <w:pPr>
        <w:pStyle w:val="TableCaption"/>
      </w:pPr>
      <w:r>
        <w:t xml:space="preserve">Pinellas Marine Rec. Fishing Contribution, Employment</w:t>
      </w:r>
    </w:p>
    <w:tbl>
      <w:tblPr>
        <w:tblStyle w:val="Table"/>
        <w:tblW w:type="auto" w:w="0"/>
        <w:tblLook w:firstRow="1" w:lastRow="0" w:firstColumn="0" w:lastColumn="0" w:noHBand="0" w:noVBand="0" w:val="0020"/>
        <w:tblCaption w:val="Pinellas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1184</w:t>
            </w:r>
          </w:p>
        </w:tc>
        <w:tc>
          <w:tcPr/>
          <w:p>
            <w:pPr>
              <w:pStyle w:val="Compact"/>
              <w:jc w:val="left"/>
            </w:pPr>
            <w:r>
              <w:t xml:space="preserve">223</w:t>
            </w:r>
          </w:p>
        </w:tc>
        <w:tc>
          <w:tcPr/>
          <w:p>
            <w:pPr>
              <w:pStyle w:val="Compact"/>
              <w:jc w:val="left"/>
            </w:pPr>
            <w:r>
              <w:t xml:space="preserve">184</w:t>
            </w:r>
          </w:p>
        </w:tc>
        <w:tc>
          <w:tcPr/>
          <w:p>
            <w:pPr>
              <w:pStyle w:val="Compact"/>
              <w:jc w:val="left"/>
            </w:pPr>
            <w:r>
              <w:t xml:space="preserve">1592</w:t>
            </w:r>
          </w:p>
        </w:tc>
      </w:tr>
      <w:tr>
        <w:tc>
          <w:tcPr/>
          <w:p>
            <w:pPr>
              <w:pStyle w:val="Compact"/>
              <w:jc w:val="left"/>
            </w:pPr>
            <w:r>
              <w:t xml:space="preserve">For-hire</w:t>
            </w:r>
          </w:p>
        </w:tc>
        <w:tc>
          <w:tcPr/>
          <w:p>
            <w:pPr>
              <w:pStyle w:val="Compact"/>
              <w:jc w:val="left"/>
            </w:pPr>
            <w:r>
              <w:t xml:space="preserve">707</w:t>
            </w:r>
          </w:p>
        </w:tc>
        <w:tc>
          <w:tcPr/>
          <w:p>
            <w:pPr>
              <w:pStyle w:val="Compact"/>
              <w:jc w:val="left"/>
            </w:pPr>
            <w:r>
              <w:t xml:space="preserve">118</w:t>
            </w:r>
          </w:p>
        </w:tc>
        <w:tc>
          <w:tcPr/>
          <w:p>
            <w:pPr>
              <w:pStyle w:val="Compact"/>
              <w:jc w:val="left"/>
            </w:pPr>
            <w:r>
              <w:t xml:space="preserve">144</w:t>
            </w:r>
          </w:p>
        </w:tc>
        <w:tc>
          <w:tcPr/>
          <w:p>
            <w:pPr>
              <w:pStyle w:val="Compact"/>
              <w:jc w:val="left"/>
            </w:pPr>
            <w:r>
              <w:t xml:space="preserve">968</w:t>
            </w:r>
          </w:p>
        </w:tc>
      </w:tr>
      <w:tr>
        <w:tc>
          <w:tcPr/>
          <w:p>
            <w:pPr>
              <w:pStyle w:val="Compact"/>
              <w:jc w:val="left"/>
            </w:pPr>
            <w:r>
              <w:t xml:space="preserve">Private Vessel</w:t>
            </w:r>
          </w:p>
        </w:tc>
        <w:tc>
          <w:tcPr/>
          <w:p>
            <w:pPr>
              <w:pStyle w:val="Compact"/>
              <w:jc w:val="left"/>
            </w:pPr>
            <w:r>
              <w:t xml:space="preserve">1744</w:t>
            </w:r>
          </w:p>
        </w:tc>
        <w:tc>
          <w:tcPr/>
          <w:p>
            <w:pPr>
              <w:pStyle w:val="Compact"/>
              <w:jc w:val="left"/>
            </w:pPr>
            <w:r>
              <w:t xml:space="preserve">408</w:t>
            </w:r>
          </w:p>
        </w:tc>
        <w:tc>
          <w:tcPr/>
          <w:p>
            <w:pPr>
              <w:pStyle w:val="Compact"/>
              <w:jc w:val="left"/>
            </w:pPr>
            <w:r>
              <w:t xml:space="preserve">343</w:t>
            </w:r>
          </w:p>
        </w:tc>
        <w:tc>
          <w:tcPr/>
          <w:p>
            <w:pPr>
              <w:pStyle w:val="Compact"/>
              <w:jc w:val="left"/>
            </w:pPr>
            <w:r>
              <w:t xml:space="preserve">2495</w:t>
            </w:r>
          </w:p>
        </w:tc>
      </w:tr>
      <w:tr>
        <w:tc>
          <w:tcPr/>
          <w:p>
            <w:pPr>
              <w:pStyle w:val="Compact"/>
              <w:jc w:val="left"/>
            </w:pPr>
            <w:r>
              <w:t xml:space="preserve">All Mar. Rec. Fishing</w:t>
            </w:r>
          </w:p>
        </w:tc>
        <w:tc>
          <w:tcPr/>
          <w:p>
            <w:pPr>
              <w:pStyle w:val="Compact"/>
              <w:jc w:val="left"/>
            </w:pPr>
            <w:r>
              <w:t xml:space="preserve">3635</w:t>
            </w:r>
          </w:p>
        </w:tc>
        <w:tc>
          <w:tcPr/>
          <w:p>
            <w:pPr>
              <w:pStyle w:val="Compact"/>
              <w:jc w:val="left"/>
            </w:pPr>
            <w:r>
              <w:t xml:space="preserve">749</w:t>
            </w:r>
          </w:p>
        </w:tc>
        <w:tc>
          <w:tcPr/>
          <w:p>
            <w:pPr>
              <w:pStyle w:val="Compact"/>
              <w:jc w:val="left"/>
            </w:pPr>
            <w:r>
              <w:t xml:space="preserve">671</w:t>
            </w:r>
          </w:p>
        </w:tc>
        <w:tc>
          <w:tcPr/>
          <w:p>
            <w:pPr>
              <w:pStyle w:val="Compact"/>
              <w:jc w:val="left"/>
            </w:pPr>
            <w:r>
              <w:t xml:space="preserve">5055</w:t>
            </w:r>
          </w:p>
        </w:tc>
      </w:tr>
    </w:tbl>
    <w:bookmarkEnd w:id="24"/>
    <w:bookmarkStart w:id="25" w:name="summary"/>
    <w:p>
      <w:pPr>
        <w:pStyle w:val="Heading3"/>
      </w:pPr>
      <w:r>
        <w:t xml:space="preserve">Summary</w:t>
      </w:r>
    </w:p>
    <w:p>
      <w:pPr>
        <w:pStyle w:val="FirstParagraph"/>
      </w:pPr>
      <w:r>
        <w:t xml:space="preserve">This summary shows that marine recreational fishing in Pinellas County contributed $636.14M and 5055 jobs to the Pinellas County economy in 2024. Again, it is critical to understand that this is not economic value, but nonetheless should be helpful for understanding the economic importance of marine recreational fishing to Pinellas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k.mastenbrook@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E0A4A8-0D03-49DD-91A3-8D2CCBDA91CE}"/>
</file>

<file path=customXml/itemProps2.xml><?xml version="1.0" encoding="utf-8"?>
<ds:datastoreItem xmlns:ds="http://schemas.openxmlformats.org/officeDocument/2006/customXml" ds:itemID="{B23D893D-29DC-42B1-838B-E6413F4008B9}"/>
</file>

<file path=customXml/itemProps3.xml><?xml version="1.0" encoding="utf-8"?>
<ds:datastoreItem xmlns:ds="http://schemas.openxmlformats.org/officeDocument/2006/customXml" ds:itemID="{D3E6EEA7-9A2B-40AF-A7A5-D19B72BB1A9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Pinellas County</dc:title>
  <dc:creator>Prepared for the Pinellas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Katie Mastenbrook, Florida Sea Grant Extension Agent Pinellas County. k.mastenbrook@ufl.edu</dc:creator>
  <cp:keywords/>
  <dcterms:created xsi:type="dcterms:W3CDTF">2025-03-19T19:28:46Z</dcterms:created>
  <dcterms:modified xsi:type="dcterms:W3CDTF">2025-03-19T19:28:46Z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