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St. Johns County</w:t>
      </w:r>
    </w:p>
    <w:p>
      <w:pPr>
        <w:pStyle w:val="Author"/>
      </w:pPr>
      <w:r>
        <w:t xml:space="preserve">Prepared for the St. Johns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w:t>
      </w:r>
    </w:p>
    <w:bookmarkStart w:id="21" w:name="how-to-use-this-summary"/>
    <w:p>
      <w:pPr>
        <w:pStyle w:val="Heading3"/>
      </w:pPr>
      <w:r>
        <w:t xml:space="preserve">How to use this summary</w:t>
      </w:r>
    </w:p>
    <w:p>
      <w:pPr>
        <w:pStyle w:val="FirstParagraph"/>
      </w:pPr>
      <w:r>
        <w:t xml:space="preserve">This summary describes the 2024 economic contributions of marine recreational fishing to St. Johns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St. Johns County as of 2024. It does not describe its economic value. Still, this summary may help inform discussions and decision making related to policy, management, or environmental changes in or around St. Johns County that might impact recreational fishing activity, or when discussing similar changes that occur at a regional or state-wide scale but might affect St. Johns County.</w:t>
      </w:r>
    </w:p>
    <w:bookmarkEnd w:id="21"/>
    <w:bookmarkStart w:id="22"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St. Johns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St. Johns County and used to estimate contribution metrics via IMPLAN.</w:t>
      </w:r>
    </w:p>
    <w:bookmarkEnd w:id="22"/>
    <w:bookmarkStart w:id="23"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St. Johns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St. Johns County is given in the bottom right cell.</w:t>
      </w:r>
    </w:p>
    <w:p>
      <w:pPr>
        <w:pStyle w:val="TableCaption"/>
      </w:pPr>
      <w:r>
        <w:t xml:space="preserve">St Johns Marine Rec. Fishing Contribution, Industry Output</w:t>
      </w:r>
    </w:p>
    <w:tbl>
      <w:tblPr>
        <w:tblStyle w:val="Table"/>
        <w:tblW w:type="auto" w:w="0"/>
        <w:tblLook w:firstRow="1" w:lastRow="0" w:firstColumn="0" w:lastColumn="0" w:noHBand="0" w:noVBand="0" w:val="0020"/>
        <w:tblCaption w:val="St Johns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12.08</w:t>
            </w:r>
          </w:p>
        </w:tc>
        <w:tc>
          <w:tcPr/>
          <w:p>
            <w:pPr>
              <w:pStyle w:val="Compact"/>
              <w:jc w:val="left"/>
            </w:pPr>
            <w:r>
              <w:t xml:space="preserve">3.23</w:t>
            </w:r>
          </w:p>
        </w:tc>
        <w:tc>
          <w:tcPr/>
          <w:p>
            <w:pPr>
              <w:pStyle w:val="Compact"/>
              <w:jc w:val="left"/>
            </w:pPr>
            <w:r>
              <w:t xml:space="preserve">2.22</w:t>
            </w:r>
          </w:p>
        </w:tc>
        <w:tc>
          <w:tcPr/>
          <w:p>
            <w:pPr>
              <w:pStyle w:val="Compact"/>
              <w:jc w:val="left"/>
            </w:pPr>
            <w:r>
              <w:t xml:space="preserve">17.54</w:t>
            </w:r>
          </w:p>
        </w:tc>
      </w:tr>
      <w:tr>
        <w:tc>
          <w:tcPr/>
          <w:p>
            <w:pPr>
              <w:pStyle w:val="Compact"/>
              <w:jc w:val="left"/>
            </w:pPr>
            <w:r>
              <w:t xml:space="preserve">For-hire</w:t>
            </w:r>
          </w:p>
        </w:tc>
        <w:tc>
          <w:tcPr/>
          <w:p>
            <w:pPr>
              <w:pStyle w:val="Compact"/>
              <w:jc w:val="left"/>
            </w:pPr>
            <w:r>
              <w:t xml:space="preserve">13.82</w:t>
            </w:r>
          </w:p>
        </w:tc>
        <w:tc>
          <w:tcPr/>
          <w:p>
            <w:pPr>
              <w:pStyle w:val="Compact"/>
              <w:jc w:val="left"/>
            </w:pPr>
            <w:r>
              <w:t xml:space="preserve">2.84</w:t>
            </w:r>
          </w:p>
        </w:tc>
        <w:tc>
          <w:tcPr/>
          <w:p>
            <w:pPr>
              <w:pStyle w:val="Compact"/>
              <w:jc w:val="left"/>
            </w:pPr>
            <w:r>
              <w:t xml:space="preserve">4.76</w:t>
            </w:r>
          </w:p>
        </w:tc>
        <w:tc>
          <w:tcPr/>
          <w:p>
            <w:pPr>
              <w:pStyle w:val="Compact"/>
              <w:jc w:val="left"/>
            </w:pPr>
            <w:r>
              <w:t xml:space="preserve">21.42</w:t>
            </w:r>
          </w:p>
        </w:tc>
      </w:tr>
      <w:tr>
        <w:tc>
          <w:tcPr/>
          <w:p>
            <w:pPr>
              <w:pStyle w:val="Compact"/>
              <w:jc w:val="left"/>
            </w:pPr>
            <w:r>
              <w:t xml:space="preserve">Private Vessel</w:t>
            </w:r>
          </w:p>
        </w:tc>
        <w:tc>
          <w:tcPr/>
          <w:p>
            <w:pPr>
              <w:pStyle w:val="Compact"/>
              <w:jc w:val="left"/>
            </w:pPr>
            <w:r>
              <w:t xml:space="preserve">30.09</w:t>
            </w:r>
          </w:p>
        </w:tc>
        <w:tc>
          <w:tcPr/>
          <w:p>
            <w:pPr>
              <w:pStyle w:val="Compact"/>
              <w:jc w:val="left"/>
            </w:pPr>
            <w:r>
              <w:t xml:space="preserve">8.66</w:t>
            </w:r>
          </w:p>
        </w:tc>
        <w:tc>
          <w:tcPr/>
          <w:p>
            <w:pPr>
              <w:pStyle w:val="Compact"/>
              <w:jc w:val="left"/>
            </w:pPr>
            <w:r>
              <w:t xml:space="preserve">5.85</w:t>
            </w:r>
          </w:p>
        </w:tc>
        <w:tc>
          <w:tcPr/>
          <w:p>
            <w:pPr>
              <w:pStyle w:val="Compact"/>
              <w:jc w:val="left"/>
            </w:pPr>
            <w:r>
              <w:t xml:space="preserve">44.61</w:t>
            </w:r>
          </w:p>
        </w:tc>
      </w:tr>
      <w:tr>
        <w:tc>
          <w:tcPr/>
          <w:p>
            <w:pPr>
              <w:pStyle w:val="Compact"/>
              <w:jc w:val="left"/>
            </w:pPr>
            <w:r>
              <w:t xml:space="preserve">All Mar. Rec. Fishing</w:t>
            </w:r>
          </w:p>
        </w:tc>
        <w:tc>
          <w:tcPr/>
          <w:p>
            <w:pPr>
              <w:pStyle w:val="Compact"/>
              <w:jc w:val="left"/>
            </w:pPr>
            <w:r>
              <w:t xml:space="preserve">55.99</w:t>
            </w:r>
          </w:p>
        </w:tc>
        <w:tc>
          <w:tcPr/>
          <w:p>
            <w:pPr>
              <w:pStyle w:val="Compact"/>
              <w:jc w:val="left"/>
            </w:pPr>
            <w:r>
              <w:t xml:space="preserve">14.73</w:t>
            </w:r>
          </w:p>
        </w:tc>
        <w:tc>
          <w:tcPr/>
          <w:p>
            <w:pPr>
              <w:pStyle w:val="Compact"/>
              <w:jc w:val="left"/>
            </w:pPr>
            <w:r>
              <w:t xml:space="preserve">12.83</w:t>
            </w:r>
          </w:p>
        </w:tc>
        <w:tc>
          <w:tcPr/>
          <w:p>
            <w:pPr>
              <w:pStyle w:val="Compact"/>
              <w:jc w:val="left"/>
            </w:pPr>
            <w:r>
              <w:t xml:space="preserve">83.57</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St. Johns County is given in the bottom right cell.</w:t>
      </w:r>
    </w:p>
    <w:p>
      <w:pPr>
        <w:pStyle w:val="TableCaption"/>
      </w:pPr>
      <w:r>
        <w:t xml:space="preserve">St Johns Marine Rec. Fishing Contribution, Employment</w:t>
      </w:r>
    </w:p>
    <w:tbl>
      <w:tblPr>
        <w:tblStyle w:val="Table"/>
        <w:tblW w:type="auto" w:w="0"/>
        <w:tblLook w:firstRow="1" w:lastRow="0" w:firstColumn="0" w:lastColumn="0" w:noHBand="0" w:noVBand="0" w:val="0020"/>
        <w:tblCaption w:val="St Johns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120</w:t>
            </w:r>
          </w:p>
        </w:tc>
        <w:tc>
          <w:tcPr/>
          <w:p>
            <w:pPr>
              <w:pStyle w:val="Compact"/>
              <w:jc w:val="left"/>
            </w:pPr>
            <w:r>
              <w:t xml:space="preserve">20</w:t>
            </w:r>
          </w:p>
        </w:tc>
        <w:tc>
          <w:tcPr/>
          <w:p>
            <w:pPr>
              <w:pStyle w:val="Compact"/>
              <w:jc w:val="left"/>
            </w:pPr>
            <w:r>
              <w:t xml:space="preserve">13</w:t>
            </w:r>
          </w:p>
        </w:tc>
        <w:tc>
          <w:tcPr/>
          <w:p>
            <w:pPr>
              <w:pStyle w:val="Compact"/>
              <w:jc w:val="left"/>
            </w:pPr>
            <w:r>
              <w:t xml:space="preserve">153</w:t>
            </w:r>
          </w:p>
        </w:tc>
      </w:tr>
      <w:tr>
        <w:tc>
          <w:tcPr/>
          <w:p>
            <w:pPr>
              <w:pStyle w:val="Compact"/>
              <w:jc w:val="left"/>
            </w:pPr>
            <w:r>
              <w:t xml:space="preserve">For-hire</w:t>
            </w:r>
          </w:p>
        </w:tc>
        <w:tc>
          <w:tcPr/>
          <w:p>
            <w:pPr>
              <w:pStyle w:val="Compact"/>
              <w:jc w:val="left"/>
            </w:pPr>
            <w:r>
              <w:t xml:space="preserve">142</w:t>
            </w:r>
          </w:p>
        </w:tc>
        <w:tc>
          <w:tcPr/>
          <w:p>
            <w:pPr>
              <w:pStyle w:val="Compact"/>
              <w:jc w:val="left"/>
            </w:pPr>
            <w:r>
              <w:t xml:space="preserve">19</w:t>
            </w:r>
          </w:p>
        </w:tc>
        <w:tc>
          <w:tcPr/>
          <w:p>
            <w:pPr>
              <w:pStyle w:val="Compact"/>
              <w:jc w:val="left"/>
            </w:pPr>
            <w:r>
              <w:t xml:space="preserve">28</w:t>
            </w:r>
          </w:p>
        </w:tc>
        <w:tc>
          <w:tcPr/>
          <w:p>
            <w:pPr>
              <w:pStyle w:val="Compact"/>
              <w:jc w:val="left"/>
            </w:pPr>
            <w:r>
              <w:t xml:space="preserve">189</w:t>
            </w:r>
          </w:p>
        </w:tc>
      </w:tr>
      <w:tr>
        <w:tc>
          <w:tcPr/>
          <w:p>
            <w:pPr>
              <w:pStyle w:val="Compact"/>
              <w:jc w:val="left"/>
            </w:pPr>
            <w:r>
              <w:t xml:space="preserve">Private Vessel</w:t>
            </w:r>
          </w:p>
        </w:tc>
        <w:tc>
          <w:tcPr/>
          <w:p>
            <w:pPr>
              <w:pStyle w:val="Compact"/>
              <w:jc w:val="left"/>
            </w:pPr>
            <w:r>
              <w:t xml:space="preserve">264</w:t>
            </w:r>
          </w:p>
        </w:tc>
        <w:tc>
          <w:tcPr/>
          <w:p>
            <w:pPr>
              <w:pStyle w:val="Compact"/>
              <w:jc w:val="left"/>
            </w:pPr>
            <w:r>
              <w:t xml:space="preserve">53</w:t>
            </w:r>
          </w:p>
        </w:tc>
        <w:tc>
          <w:tcPr/>
          <w:p>
            <w:pPr>
              <w:pStyle w:val="Compact"/>
              <w:jc w:val="left"/>
            </w:pPr>
            <w:r>
              <w:t xml:space="preserve">35</w:t>
            </w:r>
          </w:p>
        </w:tc>
        <w:tc>
          <w:tcPr/>
          <w:p>
            <w:pPr>
              <w:pStyle w:val="Compact"/>
              <w:jc w:val="left"/>
            </w:pPr>
            <w:r>
              <w:t xml:space="preserve">352</w:t>
            </w:r>
          </w:p>
        </w:tc>
      </w:tr>
      <w:tr>
        <w:tc>
          <w:tcPr/>
          <w:p>
            <w:pPr>
              <w:pStyle w:val="Compact"/>
              <w:jc w:val="left"/>
            </w:pPr>
            <w:r>
              <w:t xml:space="preserve">All Mar. Rec. Fishing</w:t>
            </w:r>
          </w:p>
        </w:tc>
        <w:tc>
          <w:tcPr/>
          <w:p>
            <w:pPr>
              <w:pStyle w:val="Compact"/>
              <w:jc w:val="left"/>
            </w:pPr>
            <w:r>
              <w:t xml:space="preserve">526</w:t>
            </w:r>
          </w:p>
        </w:tc>
        <w:tc>
          <w:tcPr/>
          <w:p>
            <w:pPr>
              <w:pStyle w:val="Compact"/>
              <w:jc w:val="left"/>
            </w:pPr>
            <w:r>
              <w:t xml:space="preserve">92</w:t>
            </w:r>
          </w:p>
        </w:tc>
        <w:tc>
          <w:tcPr/>
          <w:p>
            <w:pPr>
              <w:pStyle w:val="Compact"/>
              <w:jc w:val="left"/>
            </w:pPr>
            <w:r>
              <w:t xml:space="preserve">76</w:t>
            </w:r>
          </w:p>
        </w:tc>
        <w:tc>
          <w:tcPr/>
          <w:p>
            <w:pPr>
              <w:pStyle w:val="Compact"/>
              <w:jc w:val="left"/>
            </w:pPr>
            <w:r>
              <w:t xml:space="preserve">694</w:t>
            </w:r>
          </w:p>
        </w:tc>
      </w:tr>
    </w:tbl>
    <w:bookmarkEnd w:id="23"/>
    <w:bookmarkStart w:id="24" w:name="summary"/>
    <w:p>
      <w:pPr>
        <w:pStyle w:val="Heading3"/>
      </w:pPr>
      <w:r>
        <w:t xml:space="preserve">Summary</w:t>
      </w:r>
    </w:p>
    <w:p>
      <w:pPr>
        <w:pStyle w:val="FirstParagraph"/>
      </w:pPr>
      <w:r>
        <w:t xml:space="preserve">This summary shows that marine recreational fishing in St. Johns County contributed $83.57M and 694 jobs to the St. Johns County economy in 2024. Again, it is critical to understand that this is not economic value, but nonetheless should be helpful for understanding the economic importance of marine recreational fishing to St. Johns County.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79950C-6589-4F5F-9B74-C946294C034E}"/>
</file>

<file path=customXml/itemProps2.xml><?xml version="1.0" encoding="utf-8"?>
<ds:datastoreItem xmlns:ds="http://schemas.openxmlformats.org/officeDocument/2006/customXml" ds:itemID="{4FA7ECA4-F52F-4E0B-8745-19F416A88A97}"/>
</file>

<file path=customXml/itemProps3.xml><?xml version="1.0" encoding="utf-8"?>
<ds:datastoreItem xmlns:ds="http://schemas.openxmlformats.org/officeDocument/2006/customXml" ds:itemID="{13C9D0F3-5EAA-4B65-AAB8-CE8D031AEA4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St. Johns County</dc:title>
  <dc:creator>Prepared for the St. Johns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dc:creator>
  <cp:keywords/>
  <dcterms:created xsi:type="dcterms:W3CDTF">2025-03-19T19:29:07Z</dcterms:created>
  <dcterms:modified xsi:type="dcterms:W3CDTF">2025-03-19T19:29:07Z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