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Volusia County</w:t>
      </w:r>
    </w:p>
    <w:p>
      <w:pPr>
        <w:pStyle w:val="Author"/>
      </w:pPr>
      <w:r>
        <w:t xml:space="preserve">Prepared for the Volusia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Carolyn Kovacs, Florida Sea Grant Agent Flagler County.</w:t>
      </w:r>
      <w:r>
        <w:t xml:space="preserve"> </w:t>
      </w:r>
      <w:hyperlink r:id="rId21">
        <w:r>
          <w:rPr>
            <w:rStyle w:val="Hyperlink"/>
          </w:rPr>
          <w:t xml:space="preserve">c.kovacs@ufl.edu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Volusia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Volusia County as of 2024. It does not describe its economic value. Still, this summary may help inform discussions and decision making related to policy, management, or environmental changes in or around Volusia County that might impact recreational fishing activity, or when discussing similar changes that occur at a regional or state-wide scale but might affect Volusia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Volusia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Volusia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Volusia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Volusia County is given in the bottom right cell.</w:t>
      </w:r>
    </w:p>
    <w:p>
      <w:pPr>
        <w:pStyle w:val="TableCaption"/>
      </w:pPr>
      <w:r>
        <w:t xml:space="preserve">Volusia Marine Rec. Fishing Contribution, Industry Output</w:t>
      </w:r>
    </w:p>
    <w:tbl>
      <w:tblPr>
        <w:tblStyle w:val="Table"/>
        <w:tblW w:type="auto" w:w="0"/>
        <w:tblLook w:firstRow="1" w:lastRow="0" w:firstColumn="0" w:lastColumn="0" w:noHBand="0" w:noVBand="0" w:val="0020"/>
        <w:tblCaption w:val="Volusia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39.95</w:t>
            </w:r>
          </w:p>
        </w:tc>
        <w:tc>
          <w:tcPr/>
          <w:p>
            <w:pPr>
              <w:pStyle w:val="Compact"/>
              <w:jc w:val="left"/>
            </w:pPr>
            <w:r>
              <w:t xml:space="preserve">12.26</w:t>
            </w:r>
          </w:p>
        </w:tc>
        <w:tc>
          <w:tcPr/>
          <w:p>
            <w:pPr>
              <w:pStyle w:val="Compact"/>
              <w:jc w:val="left"/>
            </w:pPr>
            <w:r>
              <w:t xml:space="preserve">10.09</w:t>
            </w:r>
          </w:p>
        </w:tc>
        <w:tc>
          <w:tcPr/>
          <w:p>
            <w:pPr>
              <w:pStyle w:val="Compact"/>
              <w:jc w:val="left"/>
            </w:pPr>
            <w:r>
              <w:t xml:space="preserve">62.3</w:t>
            </w:r>
          </w:p>
        </w:tc>
      </w:tr>
      <w:tr>
        <w:tc>
          <w:tcPr/>
          <w:p>
            <w:pPr>
              <w:pStyle w:val="Compact"/>
              <w:jc w:val="left"/>
            </w:pPr>
            <w:r>
              <w:t xml:space="preserve">For-hire</w:t>
            </w:r>
          </w:p>
        </w:tc>
        <w:tc>
          <w:tcPr/>
          <w:p>
            <w:pPr>
              <w:pStyle w:val="Compact"/>
              <w:jc w:val="left"/>
            </w:pPr>
            <w:r>
              <w:t xml:space="preserve">9.4</w:t>
            </w:r>
          </w:p>
        </w:tc>
        <w:tc>
          <w:tcPr/>
          <w:p>
            <w:pPr>
              <w:pStyle w:val="Compact"/>
              <w:jc w:val="left"/>
            </w:pPr>
            <w:r>
              <w:t xml:space="preserve">2.31</w:t>
            </w:r>
          </w:p>
        </w:tc>
        <w:tc>
          <w:tcPr/>
          <w:p>
            <w:pPr>
              <w:pStyle w:val="Compact"/>
              <w:jc w:val="left"/>
            </w:pPr>
            <w:r>
              <w:t xml:space="preserve">4.25</w:t>
            </w:r>
          </w:p>
        </w:tc>
        <w:tc>
          <w:tcPr/>
          <w:p>
            <w:pPr>
              <w:pStyle w:val="Compact"/>
              <w:jc w:val="left"/>
            </w:pPr>
            <w:r>
              <w:t xml:space="preserve">15.96</w:t>
            </w:r>
          </w:p>
        </w:tc>
      </w:tr>
      <w:tr>
        <w:tc>
          <w:tcPr/>
          <w:p>
            <w:pPr>
              <w:pStyle w:val="Compact"/>
              <w:jc w:val="left"/>
            </w:pPr>
            <w:r>
              <w:t xml:space="preserve">Private Vessel</w:t>
            </w:r>
          </w:p>
        </w:tc>
        <w:tc>
          <w:tcPr/>
          <w:p>
            <w:pPr>
              <w:pStyle w:val="Compact"/>
              <w:jc w:val="left"/>
            </w:pPr>
            <w:r>
              <w:t xml:space="preserve">30.37</w:t>
            </w:r>
          </w:p>
        </w:tc>
        <w:tc>
          <w:tcPr/>
          <w:p>
            <w:pPr>
              <w:pStyle w:val="Compact"/>
              <w:jc w:val="left"/>
            </w:pPr>
            <w:r>
              <w:t xml:space="preserve">9.39</w:t>
            </w:r>
          </w:p>
        </w:tc>
        <w:tc>
          <w:tcPr/>
          <w:p>
            <w:pPr>
              <w:pStyle w:val="Compact"/>
              <w:jc w:val="left"/>
            </w:pPr>
            <w:r>
              <w:t xml:space="preserve">8.47</w:t>
            </w:r>
          </w:p>
        </w:tc>
        <w:tc>
          <w:tcPr/>
          <w:p>
            <w:pPr>
              <w:pStyle w:val="Compact"/>
              <w:jc w:val="left"/>
            </w:pPr>
            <w:r>
              <w:t xml:space="preserve">48.23</w:t>
            </w:r>
          </w:p>
        </w:tc>
      </w:tr>
      <w:tr>
        <w:tc>
          <w:tcPr/>
          <w:p>
            <w:pPr>
              <w:pStyle w:val="Compact"/>
              <w:jc w:val="left"/>
            </w:pPr>
            <w:r>
              <w:t xml:space="preserve">All Mar. Rec. Fishing</w:t>
            </w:r>
          </w:p>
        </w:tc>
        <w:tc>
          <w:tcPr/>
          <w:p>
            <w:pPr>
              <w:pStyle w:val="Compact"/>
              <w:jc w:val="left"/>
            </w:pPr>
            <w:r>
              <w:t xml:space="preserve">79.72</w:t>
            </w:r>
          </w:p>
        </w:tc>
        <w:tc>
          <w:tcPr/>
          <w:p>
            <w:pPr>
              <w:pStyle w:val="Compact"/>
              <w:jc w:val="left"/>
            </w:pPr>
            <w:r>
              <w:t xml:space="preserve">23.96</w:t>
            </w:r>
          </w:p>
        </w:tc>
        <w:tc>
          <w:tcPr/>
          <w:p>
            <w:pPr>
              <w:pStyle w:val="Compact"/>
              <w:jc w:val="left"/>
            </w:pPr>
            <w:r>
              <w:t xml:space="preserve">22.81</w:t>
            </w:r>
          </w:p>
        </w:tc>
        <w:tc>
          <w:tcPr/>
          <w:p>
            <w:pPr>
              <w:pStyle w:val="Compact"/>
              <w:jc w:val="left"/>
            </w:pPr>
            <w:r>
              <w:t xml:space="preserve">126.49</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Volusia County is given in the bottom right cell.</w:t>
      </w:r>
    </w:p>
    <w:p>
      <w:pPr>
        <w:pStyle w:val="TableCaption"/>
      </w:pPr>
      <w:r>
        <w:t xml:space="preserve">Volusia Marine Rec. Fishing Contribution, Employment</w:t>
      </w:r>
    </w:p>
    <w:tbl>
      <w:tblPr>
        <w:tblStyle w:val="Table"/>
        <w:tblW w:type="auto" w:w="0"/>
        <w:tblLook w:firstRow="1" w:lastRow="0" w:firstColumn="0" w:lastColumn="0" w:noHBand="0" w:noVBand="0" w:val="0020"/>
        <w:tblCaption w:val="Volusia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424</w:t>
            </w:r>
          </w:p>
        </w:tc>
        <w:tc>
          <w:tcPr/>
          <w:p>
            <w:pPr>
              <w:pStyle w:val="Compact"/>
              <w:jc w:val="left"/>
            </w:pPr>
            <w:r>
              <w:t xml:space="preserve">80</w:t>
            </w:r>
          </w:p>
        </w:tc>
        <w:tc>
          <w:tcPr/>
          <w:p>
            <w:pPr>
              <w:pStyle w:val="Compact"/>
              <w:jc w:val="left"/>
            </w:pPr>
            <w:r>
              <w:t xml:space="preserve">63</w:t>
            </w:r>
          </w:p>
        </w:tc>
        <w:tc>
          <w:tcPr/>
          <w:p>
            <w:pPr>
              <w:pStyle w:val="Compact"/>
              <w:jc w:val="left"/>
            </w:pPr>
            <w:r>
              <w:t xml:space="preserve">567</w:t>
            </w:r>
          </w:p>
        </w:tc>
      </w:tr>
      <w:tr>
        <w:tc>
          <w:tcPr/>
          <w:p>
            <w:pPr>
              <w:pStyle w:val="Compact"/>
              <w:jc w:val="left"/>
            </w:pPr>
            <w:r>
              <w:t xml:space="preserve">For-hire</w:t>
            </w:r>
          </w:p>
        </w:tc>
        <w:tc>
          <w:tcPr/>
          <w:p>
            <w:pPr>
              <w:pStyle w:val="Compact"/>
              <w:jc w:val="left"/>
            </w:pPr>
            <w:r>
              <w:t xml:space="preserve">118</w:t>
            </w:r>
          </w:p>
        </w:tc>
        <w:tc>
          <w:tcPr/>
          <w:p>
            <w:pPr>
              <w:pStyle w:val="Compact"/>
              <w:jc w:val="left"/>
            </w:pPr>
            <w:r>
              <w:t xml:space="preserve">17</w:t>
            </w:r>
          </w:p>
        </w:tc>
        <w:tc>
          <w:tcPr/>
          <w:p>
            <w:pPr>
              <w:pStyle w:val="Compact"/>
              <w:jc w:val="left"/>
            </w:pPr>
            <w:r>
              <w:t xml:space="preserve">27</w:t>
            </w:r>
          </w:p>
        </w:tc>
        <w:tc>
          <w:tcPr/>
          <w:p>
            <w:pPr>
              <w:pStyle w:val="Compact"/>
              <w:jc w:val="left"/>
            </w:pPr>
            <w:r>
              <w:t xml:space="preserve">162</w:t>
            </w:r>
          </w:p>
        </w:tc>
      </w:tr>
      <w:tr>
        <w:tc>
          <w:tcPr/>
          <w:p>
            <w:pPr>
              <w:pStyle w:val="Compact"/>
              <w:jc w:val="left"/>
            </w:pPr>
            <w:r>
              <w:t xml:space="preserve">Private Vessel</w:t>
            </w:r>
          </w:p>
        </w:tc>
        <w:tc>
          <w:tcPr/>
          <w:p>
            <w:pPr>
              <w:pStyle w:val="Compact"/>
              <w:jc w:val="left"/>
            </w:pPr>
            <w:r>
              <w:t xml:space="preserve">267</w:t>
            </w:r>
          </w:p>
        </w:tc>
        <w:tc>
          <w:tcPr/>
          <w:p>
            <w:pPr>
              <w:pStyle w:val="Compact"/>
              <w:jc w:val="left"/>
            </w:pPr>
            <w:r>
              <w:t xml:space="preserve">62</w:t>
            </w:r>
          </w:p>
        </w:tc>
        <w:tc>
          <w:tcPr/>
          <w:p>
            <w:pPr>
              <w:pStyle w:val="Compact"/>
              <w:jc w:val="left"/>
            </w:pPr>
            <w:r>
              <w:t xml:space="preserve">53</w:t>
            </w:r>
          </w:p>
        </w:tc>
        <w:tc>
          <w:tcPr/>
          <w:p>
            <w:pPr>
              <w:pStyle w:val="Compact"/>
              <w:jc w:val="left"/>
            </w:pPr>
            <w:r>
              <w:t xml:space="preserve">382</w:t>
            </w:r>
          </w:p>
        </w:tc>
      </w:tr>
      <w:tr>
        <w:tc>
          <w:tcPr/>
          <w:p>
            <w:pPr>
              <w:pStyle w:val="Compact"/>
              <w:jc w:val="left"/>
            </w:pPr>
            <w:r>
              <w:t xml:space="preserve">All Mar. Rec. Fishing</w:t>
            </w:r>
          </w:p>
        </w:tc>
        <w:tc>
          <w:tcPr/>
          <w:p>
            <w:pPr>
              <w:pStyle w:val="Compact"/>
              <w:jc w:val="left"/>
            </w:pPr>
            <w:r>
              <w:t xml:space="preserve">809</w:t>
            </w:r>
          </w:p>
        </w:tc>
        <w:tc>
          <w:tcPr/>
          <w:p>
            <w:pPr>
              <w:pStyle w:val="Compact"/>
              <w:jc w:val="left"/>
            </w:pPr>
            <w:r>
              <w:t xml:space="preserve">159</w:t>
            </w:r>
          </w:p>
        </w:tc>
        <w:tc>
          <w:tcPr/>
          <w:p>
            <w:pPr>
              <w:pStyle w:val="Compact"/>
              <w:jc w:val="left"/>
            </w:pPr>
            <w:r>
              <w:t xml:space="preserve">143</w:t>
            </w:r>
          </w:p>
        </w:tc>
        <w:tc>
          <w:tcPr/>
          <w:p>
            <w:pPr>
              <w:pStyle w:val="Compact"/>
              <w:jc w:val="left"/>
            </w:pPr>
            <w:r>
              <w:t xml:space="preserve">1111</w:t>
            </w:r>
          </w:p>
        </w:tc>
      </w:tr>
    </w:tbl>
    <w:bookmarkEnd w:id="24"/>
    <w:bookmarkStart w:id="25" w:name="summary"/>
    <w:p>
      <w:pPr>
        <w:pStyle w:val="Heading3"/>
      </w:pPr>
      <w:r>
        <w:t xml:space="preserve">Summary</w:t>
      </w:r>
    </w:p>
    <w:p>
      <w:pPr>
        <w:pStyle w:val="FirstParagraph"/>
      </w:pPr>
      <w:r>
        <w:t xml:space="preserve">This summary shows that marine recreational fishing in Volusia County contributed $126.49M and 1111 jobs to the Volusia County economy in 2024. Again, it is critical to understand that this is not economic value, but nonetheless should be helpful for understanding the economic importance of marine recreational fishing to Volusia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c.kovacs@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c.kovac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F8A2BD-7466-4C90-89C0-CBC6D255A687}"/>
</file>

<file path=customXml/itemProps2.xml><?xml version="1.0" encoding="utf-8"?>
<ds:datastoreItem xmlns:ds="http://schemas.openxmlformats.org/officeDocument/2006/customXml" ds:itemID="{46B6AB02-6F7C-415A-94EB-EB76E815BD7A}"/>
</file>

<file path=customXml/itemProps3.xml><?xml version="1.0" encoding="utf-8"?>
<ds:datastoreItem xmlns:ds="http://schemas.openxmlformats.org/officeDocument/2006/customXml" ds:itemID="{E3E2589D-8B94-4AC5-9EB7-E4A5B95E6A8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Volusia County</dc:title>
  <dc:creator>Prepared for the Volusia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Carolyn Kovacs, Florida Sea Grant Agent Flagler County. c.kovacs@ufl.edu</dc:creator>
  <cp:keywords/>
  <dcterms:created xsi:type="dcterms:W3CDTF">2025-03-19T19:29:01Z</dcterms:created>
  <dcterms:modified xsi:type="dcterms:W3CDTF">2025-03-19T19:29:01Z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