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Walton County</w:t>
      </w:r>
    </w:p>
    <w:p>
      <w:pPr>
        <w:pStyle w:val="Author"/>
      </w:pPr>
      <w:r>
        <w:t xml:space="preserve">Prepared for the Walton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Laura Tiu, Florida Sea Grant Extension Agent Walton County.</w:t>
      </w:r>
      <w:r>
        <w:t xml:space="preserve"> </w:t>
      </w:r>
      <w:hyperlink r:id="rId21">
        <w:r>
          <w:rPr>
            <w:rStyle w:val="Hyperlink"/>
          </w:rPr>
          <w:t xml:space="preserve">lgtiu@ufl.edu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Walton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Walton County as of 2024. It does not describe its economic value. Still, this summary may help inform discussions and decision making related to policy, management, or environmental changes in or around Walton County that might impact recreational fishing activity, or when discussing similar changes that occur at a regional or state-wide scale but might affect Walton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Walton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Walton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Walton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Walton County is given in the bottom right cell.</w:t>
      </w:r>
    </w:p>
    <w:p>
      <w:pPr>
        <w:pStyle w:val="TableCaption"/>
      </w:pPr>
      <w:r>
        <w:t xml:space="preserve">Walton Marine Rec. Fishing Contribution, Industry Output</w:t>
      </w:r>
    </w:p>
    <w:tbl>
      <w:tblPr>
        <w:tblStyle w:val="Table"/>
        <w:tblW w:type="auto" w:w="0"/>
        <w:tblLook w:firstRow="1" w:lastRow="0" w:firstColumn="0" w:lastColumn="0" w:noHBand="0" w:noVBand="0" w:val="0020"/>
        <w:tblCaption w:val="Walton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9.39</w:t>
            </w:r>
          </w:p>
        </w:tc>
        <w:tc>
          <w:tcPr/>
          <w:p>
            <w:pPr>
              <w:pStyle w:val="Compact"/>
              <w:jc w:val="left"/>
            </w:pPr>
            <w:r>
              <w:t xml:space="preserve">2.33</w:t>
            </w:r>
          </w:p>
        </w:tc>
        <w:tc>
          <w:tcPr/>
          <w:p>
            <w:pPr>
              <w:pStyle w:val="Compact"/>
              <w:jc w:val="left"/>
            </w:pPr>
            <w:r>
              <w:t xml:space="preserve">1.55</w:t>
            </w:r>
          </w:p>
        </w:tc>
        <w:tc>
          <w:tcPr/>
          <w:p>
            <w:pPr>
              <w:pStyle w:val="Compact"/>
              <w:jc w:val="left"/>
            </w:pPr>
            <w:r>
              <w:t xml:space="preserve">13.26</w:t>
            </w:r>
          </w:p>
        </w:tc>
      </w:tr>
      <w:tr>
        <w:tc>
          <w:tcPr/>
          <w:p>
            <w:pPr>
              <w:pStyle w:val="Compact"/>
              <w:jc w:val="left"/>
            </w:pPr>
            <w:r>
              <w:t xml:space="preserve">For-hire</w:t>
            </w:r>
          </w:p>
        </w:tc>
        <w:tc>
          <w:tcPr/>
          <w:p>
            <w:pPr>
              <w:pStyle w:val="Compact"/>
              <w:jc w:val="left"/>
            </w:pPr>
            <w:r>
              <w:t xml:space="preserve">5.71</w:t>
            </w:r>
          </w:p>
        </w:tc>
        <w:tc>
          <w:tcPr/>
          <w:p>
            <w:pPr>
              <w:pStyle w:val="Compact"/>
              <w:jc w:val="left"/>
            </w:pPr>
            <w:r>
              <w:t xml:space="preserve">0.89</w:t>
            </w:r>
          </w:p>
        </w:tc>
        <w:tc>
          <w:tcPr/>
          <w:p>
            <w:pPr>
              <w:pStyle w:val="Compact"/>
              <w:jc w:val="left"/>
            </w:pPr>
            <w:r>
              <w:t xml:space="preserve">1.79</w:t>
            </w:r>
          </w:p>
        </w:tc>
        <w:tc>
          <w:tcPr/>
          <w:p>
            <w:pPr>
              <w:pStyle w:val="Compact"/>
              <w:jc w:val="left"/>
            </w:pPr>
            <w:r>
              <w:t xml:space="preserve">8.4</w:t>
            </w:r>
          </w:p>
        </w:tc>
      </w:tr>
      <w:tr>
        <w:tc>
          <w:tcPr/>
          <w:p>
            <w:pPr>
              <w:pStyle w:val="Compact"/>
              <w:jc w:val="left"/>
            </w:pPr>
            <w:r>
              <w:t xml:space="preserve">Private Vessel</w:t>
            </w:r>
          </w:p>
        </w:tc>
        <w:tc>
          <w:tcPr/>
          <w:p>
            <w:pPr>
              <w:pStyle w:val="Compact"/>
              <w:jc w:val="left"/>
            </w:pPr>
            <w:r>
              <w:t xml:space="preserve">7.46</w:t>
            </w:r>
          </w:p>
        </w:tc>
        <w:tc>
          <w:tcPr/>
          <w:p>
            <w:pPr>
              <w:pStyle w:val="Compact"/>
              <w:jc w:val="left"/>
            </w:pPr>
            <w:r>
              <w:t xml:space="preserve">1.95</w:t>
            </w:r>
          </w:p>
        </w:tc>
        <w:tc>
          <w:tcPr/>
          <w:p>
            <w:pPr>
              <w:pStyle w:val="Compact"/>
              <w:jc w:val="left"/>
            </w:pPr>
            <w:r>
              <w:t xml:space="preserve">1.42</w:t>
            </w:r>
          </w:p>
        </w:tc>
        <w:tc>
          <w:tcPr/>
          <w:p>
            <w:pPr>
              <w:pStyle w:val="Compact"/>
              <w:jc w:val="left"/>
            </w:pPr>
            <w:r>
              <w:t xml:space="preserve">10.83</w:t>
            </w:r>
          </w:p>
        </w:tc>
      </w:tr>
      <w:tr>
        <w:tc>
          <w:tcPr/>
          <w:p>
            <w:pPr>
              <w:pStyle w:val="Compact"/>
              <w:jc w:val="left"/>
            </w:pPr>
            <w:r>
              <w:t xml:space="preserve">All Mar. Rec. Fishing</w:t>
            </w:r>
          </w:p>
        </w:tc>
        <w:tc>
          <w:tcPr/>
          <w:p>
            <w:pPr>
              <w:pStyle w:val="Compact"/>
              <w:jc w:val="left"/>
            </w:pPr>
            <w:r>
              <w:t xml:space="preserve">22.56</w:t>
            </w:r>
          </w:p>
        </w:tc>
        <w:tc>
          <w:tcPr/>
          <w:p>
            <w:pPr>
              <w:pStyle w:val="Compact"/>
              <w:jc w:val="left"/>
            </w:pPr>
            <w:r>
              <w:t xml:space="preserve">5.17</w:t>
            </w:r>
          </w:p>
        </w:tc>
        <w:tc>
          <w:tcPr/>
          <w:p>
            <w:pPr>
              <w:pStyle w:val="Compact"/>
              <w:jc w:val="left"/>
            </w:pPr>
            <w:r>
              <w:t xml:space="preserve">4.76</w:t>
            </w:r>
          </w:p>
        </w:tc>
        <w:tc>
          <w:tcPr/>
          <w:p>
            <w:pPr>
              <w:pStyle w:val="Compact"/>
              <w:jc w:val="left"/>
            </w:pPr>
            <w:r>
              <w:t xml:space="preserve">32.49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Walton County is given in the bottom right cell.</w:t>
      </w:r>
    </w:p>
    <w:p>
      <w:pPr>
        <w:pStyle w:val="TableCaption"/>
      </w:pPr>
      <w:r>
        <w:t xml:space="preserve">Walton Marine Rec. Fishing Contribution, Employment</w:t>
      </w:r>
    </w:p>
    <w:tbl>
      <w:tblPr>
        <w:tblStyle w:val="Table"/>
        <w:tblW w:type="auto" w:w="0"/>
        <w:tblLook w:firstRow="1" w:lastRow="0" w:firstColumn="0" w:lastColumn="0" w:noHBand="0" w:noVBand="0" w:val="0020"/>
        <w:tblCaption w:val="Walton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85</w:t>
            </w:r>
          </w:p>
        </w:tc>
        <w:tc>
          <w:tcPr/>
          <w:p>
            <w:pPr>
              <w:pStyle w:val="Compact"/>
              <w:jc w:val="left"/>
            </w:pPr>
            <w:r>
              <w:t xml:space="preserve">13</w:t>
            </w:r>
          </w:p>
        </w:tc>
        <w:tc>
          <w:tcPr/>
          <w:p>
            <w:pPr>
              <w:pStyle w:val="Compact"/>
              <w:jc w:val="left"/>
            </w:pPr>
            <w:r>
              <w:t xml:space="preserve">9</w:t>
            </w:r>
          </w:p>
        </w:tc>
        <w:tc>
          <w:tcPr/>
          <w:p>
            <w:pPr>
              <w:pStyle w:val="Compact"/>
              <w:jc w:val="left"/>
            </w:pPr>
            <w:r>
              <w:t xml:space="preserve">106</w:t>
            </w:r>
          </w:p>
        </w:tc>
      </w:tr>
      <w:tr>
        <w:tc>
          <w:tcPr/>
          <w:p>
            <w:pPr>
              <w:pStyle w:val="Compact"/>
              <w:jc w:val="left"/>
            </w:pPr>
            <w:r>
              <w:t xml:space="preserve">For-hire</w:t>
            </w:r>
          </w:p>
        </w:tc>
        <w:tc>
          <w:tcPr/>
          <w:p>
            <w:pPr>
              <w:pStyle w:val="Compact"/>
              <w:jc w:val="left"/>
            </w:pPr>
            <w:r>
              <w:t xml:space="preserve">40</w:t>
            </w:r>
          </w:p>
        </w:tc>
        <w:tc>
          <w:tcPr/>
          <w:p>
            <w:pPr>
              <w:pStyle w:val="Compact"/>
              <w:jc w:val="left"/>
            </w:pPr>
            <w:r>
              <w:t xml:space="preserve">5</w:t>
            </w:r>
          </w:p>
        </w:tc>
        <w:tc>
          <w:tcPr/>
          <w:p>
            <w:pPr>
              <w:pStyle w:val="Compact"/>
              <w:jc w:val="left"/>
            </w:pPr>
            <w:r>
              <w:t xml:space="preserve">10</w:t>
            </w:r>
          </w:p>
        </w:tc>
        <w:tc>
          <w:tcPr/>
          <w:p>
            <w:pPr>
              <w:pStyle w:val="Compact"/>
              <w:jc w:val="left"/>
            </w:pPr>
            <w:r>
              <w:t xml:space="preserve">55</w:t>
            </w:r>
          </w:p>
        </w:tc>
      </w:tr>
      <w:tr>
        <w:tc>
          <w:tcPr/>
          <w:p>
            <w:pPr>
              <w:pStyle w:val="Compact"/>
              <w:jc w:val="left"/>
            </w:pPr>
            <w:r>
              <w:t xml:space="preserve">Private Vessel</w:t>
            </w:r>
          </w:p>
        </w:tc>
        <w:tc>
          <w:tcPr/>
          <w:p>
            <w:pPr>
              <w:pStyle w:val="Compact"/>
              <w:jc w:val="left"/>
            </w:pPr>
            <w:r>
              <w:t xml:space="preserve">60</w:t>
            </w:r>
          </w:p>
        </w:tc>
        <w:tc>
          <w:tcPr/>
          <w:p>
            <w:pPr>
              <w:pStyle w:val="Compact"/>
              <w:jc w:val="left"/>
            </w:pPr>
            <w:r>
              <w:t xml:space="preserve">11</w:t>
            </w:r>
          </w:p>
        </w:tc>
        <w:tc>
          <w:tcPr/>
          <w:p>
            <w:pPr>
              <w:pStyle w:val="Compact"/>
              <w:jc w:val="left"/>
            </w:pPr>
            <w:r>
              <w:t xml:space="preserve">8</w:t>
            </w:r>
          </w:p>
        </w:tc>
        <w:tc>
          <w:tcPr/>
          <w:p>
            <w:pPr>
              <w:pStyle w:val="Compact"/>
              <w:jc w:val="left"/>
            </w:pPr>
            <w:r>
              <w:t xml:space="preserve">78</w:t>
            </w:r>
          </w:p>
        </w:tc>
      </w:tr>
      <w:tr>
        <w:tc>
          <w:tcPr/>
          <w:p>
            <w:pPr>
              <w:pStyle w:val="Compact"/>
              <w:jc w:val="left"/>
            </w:pPr>
            <w:r>
              <w:t xml:space="preserve">All Mar. Rec. Fishing</w:t>
            </w:r>
          </w:p>
        </w:tc>
        <w:tc>
          <w:tcPr/>
          <w:p>
            <w:pPr>
              <w:pStyle w:val="Compact"/>
              <w:jc w:val="left"/>
            </w:pPr>
            <w:r>
              <w:t xml:space="preserve">185</w:t>
            </w:r>
          </w:p>
        </w:tc>
        <w:tc>
          <w:tcPr/>
          <w:p>
            <w:pPr>
              <w:pStyle w:val="Compact"/>
              <w:jc w:val="left"/>
            </w:pPr>
            <w:r>
              <w:t xml:space="preserve">29</w:t>
            </w:r>
          </w:p>
        </w:tc>
        <w:tc>
          <w:tcPr/>
          <w:p>
            <w:pPr>
              <w:pStyle w:val="Compact"/>
              <w:jc w:val="left"/>
            </w:pPr>
            <w:r>
              <w:t xml:space="preserve">27</w:t>
            </w:r>
          </w:p>
        </w:tc>
        <w:tc>
          <w:tcPr/>
          <w:p>
            <w:pPr>
              <w:pStyle w:val="Compact"/>
              <w:jc w:val="left"/>
            </w:pPr>
            <w:r>
              <w:t xml:space="preserve">239</w:t>
            </w:r>
          </w:p>
        </w:tc>
      </w:tr>
    </w:tbl>
    <w:bookmarkEnd w:id="24"/>
    <w:bookmarkStart w:id="25" w:name="summary"/>
    <w:p>
      <w:pPr>
        <w:pStyle w:val="Heading3"/>
      </w:pPr>
      <w:r>
        <w:t xml:space="preserve">Summary</w:t>
      </w:r>
    </w:p>
    <w:p>
      <w:pPr>
        <w:pStyle w:val="FirstParagraph"/>
      </w:pPr>
      <w:r>
        <w:t xml:space="preserve">This summary shows that marine recreational fishing in Walton County contributed $32.49M and 239 jobs to the Walton County economy in 2024. Again, it is critical to understand that this is not economic value, but nonetheless should be helpful for understanding the economic importance of marine recreational fishing to Walton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gtiu@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5DC532-990F-4CD9-8AE7-A526EC93ECC6}"/>
</file>

<file path=customXml/itemProps2.xml><?xml version="1.0" encoding="utf-8"?>
<ds:datastoreItem xmlns:ds="http://schemas.openxmlformats.org/officeDocument/2006/customXml" ds:itemID="{49693055-3E6A-4F43-B15A-01B56A970C35}"/>
</file>

<file path=customXml/itemProps3.xml><?xml version="1.0" encoding="utf-8"?>
<ds:datastoreItem xmlns:ds="http://schemas.openxmlformats.org/officeDocument/2006/customXml" ds:itemID="{D7EB019B-0892-433A-A68D-85C01C9FF14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Walton County</dc:title>
  <dc:creator>Prepared for the Walton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Laura Tiu, Florida Sea Grant Extension Agent Walton County. lgtiu@ufl.edu</dc:creator>
  <cp:keywords/>
  <dcterms:created xsi:type="dcterms:W3CDTF">2025-03-19T19:29:17Z</dcterms:created>
  <dcterms:modified xsi:type="dcterms:W3CDTF">2025-03-19T19:29:17Z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