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Collier County</w:t>
      </w:r>
    </w:p>
    <w:p>
      <w:pPr>
        <w:pStyle w:val="Author"/>
      </w:pPr>
      <w:r>
        <w:t xml:space="preserve">Prepared for Collier County by Ed Camp (</w:t>
      </w:r>
      <w:hyperlink r:id="rId20">
        <w:r>
          <w:rPr>
            <w:rStyle w:val="Hyperlink"/>
          </w:rPr>
          <w:t xml:space="preserve">edvcamp@ufl.edu</w:t>
        </w:r>
      </w:hyperlink>
      <w:r>
        <w:t xml:space="preserve">) Assistant Professor University of Florida, and Michael Sipos, Florida Sea Grant Extension Agent Collier County,</w:t>
      </w:r>
      <w:r>
        <w:t xml:space="preserve"> </w:t>
      </w:r>
      <w:hyperlink r:id="rId21">
        <w:r>
          <w:rPr>
            <w:rStyle w:val="Hyperlink"/>
          </w:rPr>
          <w:t xml:space="preserve">sipos624@ufl.edu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Collier County</w:t>
      </w:r>
      <w:r>
        <w:t xml:space="preserve">. The report describes information about where people come from when they fish Collier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Collier County</w:t>
      </w:r>
      <w:r>
        <w:t xml:space="preserve">, which Michael Sipos can provide you.</w:t>
      </w:r>
    </w:p>
    <w:p>
      <w:pPr>
        <w:pStyle w:val="BodyText"/>
      </w:pPr>
    </w:p>
    <w:bookmarkEnd w:id="22"/>
    <w:bookmarkStart w:id="25" w:name="X5563900c95a055781a4c941799aec8b15350afb"/>
    <w:p>
      <w:pPr>
        <w:pStyle w:val="Heading3"/>
      </w:pPr>
      <w:r>
        <w:t xml:space="preserve">Where people come from to fish Collier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512"/>
        <w:gridCol w:w="533"/>
        <w:gridCol w:w="2669"/>
        <w:gridCol w:w="533"/>
        <w:gridCol w:w="2135"/>
        <w:gridCol w:w="533"/>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Ten Thousand Islands</w:t>
            </w:r>
          </w:p>
        </w:tc>
        <w:tc>
          <w:tcPr/>
          <w:p>
            <w:pPr>
              <w:pStyle w:val="Compact"/>
              <w:jc w:val="right"/>
            </w:pPr>
            <w:r>
              <w:t xml:space="preserve">Prop.</w:t>
            </w:r>
          </w:p>
        </w:tc>
        <w:tc>
          <w:tcPr/>
          <w:p>
            <w:pPr>
              <w:pStyle w:val="Compact"/>
              <w:jc w:val="left"/>
            </w:pPr>
            <w:r>
              <w:t xml:space="preserve">Trips to Collier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0.110</w:t>
            </w:r>
          </w:p>
        </w:tc>
        <w:tc>
          <w:tcPr/>
          <w:p>
            <w:pPr>
              <w:pStyle w:val="Compact"/>
              <w:jc w:val="left"/>
            </w:pPr>
            <w:r>
              <w:t xml:space="preserve">Not Available</w:t>
            </w:r>
          </w:p>
        </w:tc>
        <w:tc>
          <w:tcPr/>
          <w:p>
            <w:pPr>
              <w:pStyle w:val="Compact"/>
              <w:jc w:val="right"/>
            </w:pPr>
            <w:r>
              <w:t xml:space="preserve">0.110</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0.079</w:t>
            </w:r>
          </w:p>
        </w:tc>
        <w:tc>
          <w:tcPr/>
          <w:p>
            <w:pPr>
              <w:pStyle w:val="Compact"/>
              <w:jc w:val="left"/>
            </w:pPr>
            <w:r>
              <w:t xml:space="preserve">Ohio</w:t>
            </w:r>
          </w:p>
        </w:tc>
        <w:tc>
          <w:tcPr/>
          <w:p>
            <w:pPr>
              <w:pStyle w:val="Compact"/>
              <w:jc w:val="right"/>
            </w:pPr>
            <w:r>
              <w:t xml:space="preserve">0.079</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0.078</w:t>
            </w:r>
          </w:p>
        </w:tc>
        <w:tc>
          <w:tcPr/>
          <w:p>
            <w:pPr>
              <w:pStyle w:val="Compact"/>
              <w:jc w:val="left"/>
            </w:pPr>
            <w:r>
              <w:t xml:space="preserve">Illinois</w:t>
            </w:r>
          </w:p>
        </w:tc>
        <w:tc>
          <w:tcPr/>
          <w:p>
            <w:pPr>
              <w:pStyle w:val="Compact"/>
              <w:jc w:val="right"/>
            </w:pPr>
            <w:r>
              <w:t xml:space="preserve">0.078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Michigan</w:t>
            </w:r>
          </w:p>
        </w:tc>
        <w:tc>
          <w:tcPr/>
          <w:p>
            <w:pPr>
              <w:pStyle w:val="Compact"/>
              <w:jc w:val="right"/>
            </w:pPr>
            <w:r>
              <w:t xml:space="preserve">0.078</w:t>
            </w:r>
          </w:p>
        </w:tc>
        <w:tc>
          <w:tcPr/>
          <w:p>
            <w:pPr>
              <w:pStyle w:val="Compact"/>
              <w:jc w:val="left"/>
            </w:pPr>
            <w:r>
              <w:t xml:space="preserve">Michigan</w:t>
            </w:r>
          </w:p>
        </w:tc>
        <w:tc>
          <w:tcPr/>
          <w:p>
            <w:pPr>
              <w:pStyle w:val="Compact"/>
              <w:jc w:val="right"/>
            </w:pPr>
            <w:r>
              <w:t xml:space="preserve">0.078</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Minnesota</w:t>
            </w:r>
          </w:p>
        </w:tc>
        <w:tc>
          <w:tcPr/>
          <w:p>
            <w:pPr>
              <w:pStyle w:val="Compact"/>
              <w:jc w:val="right"/>
            </w:pPr>
            <w:r>
              <w:t xml:space="preserve">0.061</w:t>
            </w:r>
          </w:p>
        </w:tc>
        <w:tc>
          <w:tcPr/>
          <w:p>
            <w:pPr>
              <w:pStyle w:val="Compact"/>
              <w:jc w:val="left"/>
            </w:pPr>
            <w:r>
              <w:t xml:space="preserve">Minnesota</w:t>
            </w:r>
          </w:p>
        </w:tc>
        <w:tc>
          <w:tcPr/>
          <w:p>
            <w:pPr>
              <w:pStyle w:val="Compact"/>
              <w:jc w:val="right"/>
            </w:pPr>
            <w:r>
              <w:t xml:space="preserve">0.061</w:t>
            </w:r>
          </w:p>
        </w:tc>
      </w:tr>
    </w:tbl>
    <w:p>
      <w:pPr>
        <w:pStyle w:val="BodyText"/>
      </w:pPr>
      <w:r>
        <w:rPr>
          <w:b/>
          <w:bCs/>
        </w:rPr>
        <w:t xml:space="preserve">Table 1. The origins of out-of-state angler trips for Florida, the region, and specifically Collier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Collier County. Comparing the columns shows how Collier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Lee</w:t>
            </w:r>
          </w:p>
        </w:tc>
        <w:tc>
          <w:tcPr/>
          <w:p>
            <w:pPr>
              <w:pStyle w:val="Compact"/>
              <w:jc w:val="right"/>
            </w:pPr>
            <w:r>
              <w:t xml:space="preserve">0.361</w:t>
            </w:r>
          </w:p>
        </w:tc>
        <w:tc>
          <w:tcPr/>
          <w:p>
            <w:pPr>
              <w:pStyle w:val="Compact"/>
              <w:jc w:val="left"/>
            </w:pPr>
            <w:r>
              <w:t xml:space="preserve">Collier</w:t>
            </w:r>
          </w:p>
        </w:tc>
        <w:tc>
          <w:tcPr/>
          <w:p>
            <w:pPr>
              <w:pStyle w:val="Compact"/>
              <w:jc w:val="right"/>
            </w:pPr>
            <w:r>
              <w:t xml:space="preserve">0.717</w:t>
            </w:r>
          </w:p>
        </w:tc>
      </w:tr>
      <w:tr>
        <w:tc>
          <w:tcPr/>
          <w:p>
            <w:pPr>
              <w:pStyle w:val="Compact"/>
              <w:jc w:val="left"/>
            </w:pPr>
            <w:r>
              <w:t xml:space="preserve">Broward</w:t>
            </w:r>
          </w:p>
        </w:tc>
        <w:tc>
          <w:tcPr/>
          <w:p>
            <w:pPr>
              <w:pStyle w:val="Compact"/>
              <w:jc w:val="right"/>
            </w:pPr>
            <w:r>
              <w:t xml:space="preserve">0.186</w:t>
            </w:r>
          </w:p>
        </w:tc>
        <w:tc>
          <w:tcPr/>
          <w:p>
            <w:pPr>
              <w:pStyle w:val="Compact"/>
              <w:jc w:val="left"/>
            </w:pPr>
            <w:r>
              <w:t xml:space="preserve">Lee</w:t>
            </w:r>
          </w:p>
        </w:tc>
        <w:tc>
          <w:tcPr/>
          <w:p>
            <w:pPr>
              <w:pStyle w:val="Compact"/>
              <w:jc w:val="right"/>
            </w:pPr>
            <w:r>
              <w:t xml:space="preserve">0.102</w:t>
            </w:r>
          </w:p>
        </w:tc>
      </w:tr>
      <w:tr>
        <w:tc>
          <w:tcPr/>
          <w:p>
            <w:pPr>
              <w:pStyle w:val="Compact"/>
              <w:jc w:val="left"/>
            </w:pPr>
            <w:r>
              <w:t xml:space="preserve">Miami-Dade</w:t>
            </w:r>
          </w:p>
        </w:tc>
        <w:tc>
          <w:tcPr/>
          <w:p>
            <w:pPr>
              <w:pStyle w:val="Compact"/>
              <w:jc w:val="right"/>
            </w:pPr>
            <w:r>
              <w:t xml:space="preserve">0.084</w:t>
            </w:r>
          </w:p>
        </w:tc>
        <w:tc>
          <w:tcPr/>
          <w:p>
            <w:pPr>
              <w:pStyle w:val="Compact"/>
              <w:jc w:val="left"/>
            </w:pPr>
            <w:r>
              <w:t xml:space="preserve">Broward</w:t>
            </w:r>
          </w:p>
        </w:tc>
        <w:tc>
          <w:tcPr/>
          <w:p>
            <w:pPr>
              <w:pStyle w:val="Compact"/>
              <w:jc w:val="right"/>
            </w:pPr>
            <w:r>
              <w:t xml:space="preserve">0.053</w:t>
            </w:r>
          </w:p>
        </w:tc>
      </w:tr>
      <w:tr>
        <w:tc>
          <w:tcPr/>
          <w:p>
            <w:pPr>
              <w:pStyle w:val="Compact"/>
              <w:jc w:val="left"/>
            </w:pPr>
            <w:r>
              <w:t xml:space="preserve">Palm Beach</w:t>
            </w:r>
          </w:p>
        </w:tc>
        <w:tc>
          <w:tcPr/>
          <w:p>
            <w:pPr>
              <w:pStyle w:val="Compact"/>
              <w:jc w:val="right"/>
            </w:pPr>
            <w:r>
              <w:t xml:space="preserve">0.053</w:t>
            </w:r>
          </w:p>
        </w:tc>
        <w:tc>
          <w:tcPr/>
          <w:p>
            <w:pPr>
              <w:pStyle w:val="Compact"/>
              <w:jc w:val="left"/>
            </w:pPr>
            <w:r>
              <w:t xml:space="preserve">Miami-Dade</w:t>
            </w:r>
          </w:p>
        </w:tc>
        <w:tc>
          <w:tcPr/>
          <w:p>
            <w:pPr>
              <w:pStyle w:val="Compact"/>
              <w:jc w:val="right"/>
            </w:pPr>
            <w:r>
              <w:t xml:space="preserve">0.024</w:t>
            </w:r>
          </w:p>
        </w:tc>
      </w:tr>
      <w:tr>
        <w:tc>
          <w:tcPr/>
          <w:p>
            <w:pPr>
              <w:pStyle w:val="Compact"/>
              <w:jc w:val="left"/>
            </w:pPr>
            <w:r>
              <w:t xml:space="preserve">Hillsborough</w:t>
            </w:r>
          </w:p>
        </w:tc>
        <w:tc>
          <w:tcPr/>
          <w:p>
            <w:pPr>
              <w:pStyle w:val="Compact"/>
              <w:jc w:val="right"/>
            </w:pPr>
            <w:r>
              <w:t xml:space="preserve">0.033</w:t>
            </w:r>
          </w:p>
        </w:tc>
        <w:tc>
          <w:tcPr/>
          <w:p>
            <w:pPr>
              <w:pStyle w:val="Compact"/>
              <w:jc w:val="left"/>
            </w:pPr>
            <w:r>
              <w:t xml:space="preserve">Palm Beach</w:t>
            </w:r>
          </w:p>
        </w:tc>
        <w:tc>
          <w:tcPr/>
          <w:p>
            <w:pPr>
              <w:pStyle w:val="Compact"/>
              <w:jc w:val="right"/>
            </w:pPr>
            <w:r>
              <w:t xml:space="preserve">0.015</w:t>
            </w:r>
          </w:p>
        </w:tc>
      </w:tr>
    </w:tbl>
    <w:p>
      <w:pPr>
        <w:pStyle w:val="BodyText"/>
      </w:pPr>
      <w:r>
        <w:rPr>
          <w:b/>
          <w:bCs/>
        </w:rPr>
        <w:t xml:space="preserve">Table 2. The origins of Florida resident anglers fishing in Collier County, for 2014-2024.</w:t>
      </w:r>
      <w:r>
        <w:br/>
      </w:r>
      <w:r>
        <w:t xml:space="preserve">This table shows where Florida resident anglers come from when they fish Collier County.</w:t>
      </w:r>
      <w:r>
        <w:t xml:space="preserve"> </w:t>
      </w:r>
      <w:r>
        <w:rPr>
          <w:b/>
          <w:bCs/>
        </w:rPr>
        <w:t xml:space="preserve">Columns 1 &amp; 2</w:t>
      </w:r>
      <w:r>
        <w:rPr>
          <w:b/>
          <w:bCs/>
        </w:rPr>
        <w:t xml:space="preserve"> </w:t>
      </w:r>
      <w:r>
        <w:t xml:space="preserve"> </w:t>
      </w:r>
      <w:r>
        <w:t xml:space="preserve">show origins of trips in Collier County by anglers who are</w:t>
      </w:r>
      <w:r>
        <w:t xml:space="preserve"> </w:t>
      </w:r>
      <w:r>
        <w:rPr>
          <w:b/>
          <w:bCs/>
        </w:rPr>
        <w:t xml:space="preserve">not</w:t>
      </w:r>
      <w:r>
        <w:t xml:space="preserve"> </w:t>
      </w:r>
      <w:r>
        <w:t xml:space="preserve">residents of Collier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Collier County. This information can be used to identifying in-state advertising.</w:t>
      </w:r>
    </w:p>
    <w:p>
      <w:pPr>
        <w:pStyle w:val="BodyText"/>
      </w:pPr>
    </w:p>
    <w:bookmarkEnd w:id="24"/>
    <w:bookmarkEnd w:id="25"/>
    <w:bookmarkStart w:id="27" w:name="what-people-fish-for-in-collier-county"/>
    <w:p>
      <w:pPr>
        <w:pStyle w:val="Heading3"/>
      </w:pPr>
      <w:r>
        <w:t xml:space="preserve">What people fish for in Collier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03"/>
        <w:gridCol w:w="456"/>
        <w:gridCol w:w="1218"/>
        <w:gridCol w:w="456"/>
        <w:gridCol w:w="1523"/>
        <w:gridCol w:w="456"/>
        <w:gridCol w:w="1446"/>
        <w:gridCol w:w="456"/>
      </w:tblGrid>
      <w:tr>
        <w:trPr>
          <w:tblHeader w:val="on"/>
        </w:trPr>
        <w:tc>
          <w:tcPr/>
          <w:p>
            <w:pPr>
              <w:pStyle w:val="Compact"/>
              <w:jc w:val="left"/>
            </w:pPr>
            <w:r>
              <w:t xml:space="preserve">All Collier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0.485</w:t>
            </w:r>
          </w:p>
        </w:tc>
        <w:tc>
          <w:tcPr/>
          <w:p>
            <w:pPr>
              <w:pStyle w:val="Compact"/>
              <w:jc w:val="left"/>
            </w:pPr>
            <w:r>
              <w:t xml:space="preserve">No Target</w:t>
            </w:r>
          </w:p>
        </w:tc>
        <w:tc>
          <w:tcPr/>
          <w:p>
            <w:pPr>
              <w:pStyle w:val="Compact"/>
              <w:jc w:val="right"/>
            </w:pPr>
            <w:r>
              <w:t xml:space="preserve">0.451</w:t>
            </w:r>
          </w:p>
        </w:tc>
        <w:tc>
          <w:tcPr/>
          <w:p>
            <w:pPr>
              <w:pStyle w:val="Compact"/>
              <w:jc w:val="left"/>
            </w:pPr>
            <w:r>
              <w:t xml:space="preserve">No Target</w:t>
            </w:r>
          </w:p>
        </w:tc>
        <w:tc>
          <w:tcPr/>
          <w:p>
            <w:pPr>
              <w:pStyle w:val="Compact"/>
              <w:jc w:val="right"/>
            </w:pPr>
            <w:r>
              <w:t xml:space="preserve">0.513</w:t>
            </w:r>
          </w:p>
        </w:tc>
        <w:tc>
          <w:tcPr/>
          <w:p>
            <w:pPr>
              <w:pStyle w:val="Compact"/>
              <w:jc w:val="left"/>
            </w:pPr>
            <w:r>
              <w:t xml:space="preserve">No Target</w:t>
            </w:r>
          </w:p>
        </w:tc>
        <w:tc>
          <w:tcPr/>
          <w:p>
            <w:pPr>
              <w:pStyle w:val="Compact"/>
              <w:jc w:val="right"/>
            </w:pPr>
            <w:r>
              <w:t xml:space="preserve">0.562</w:t>
            </w:r>
          </w:p>
        </w:tc>
      </w:tr>
      <w:tr>
        <w:tc>
          <w:tcPr/>
          <w:p>
            <w:pPr>
              <w:pStyle w:val="Compact"/>
              <w:jc w:val="left"/>
            </w:pPr>
            <w:r>
              <w:t xml:space="preserve">Common snook</w:t>
            </w:r>
          </w:p>
        </w:tc>
        <w:tc>
          <w:tcPr/>
          <w:p>
            <w:pPr>
              <w:pStyle w:val="Compact"/>
              <w:jc w:val="right"/>
            </w:pPr>
            <w:r>
              <w:t xml:space="preserve">0.122</w:t>
            </w:r>
          </w:p>
        </w:tc>
        <w:tc>
          <w:tcPr/>
          <w:p>
            <w:pPr>
              <w:pStyle w:val="Compact"/>
              <w:jc w:val="left"/>
            </w:pPr>
            <w:r>
              <w:t xml:space="preserve">Common snook</w:t>
            </w:r>
          </w:p>
        </w:tc>
        <w:tc>
          <w:tcPr/>
          <w:p>
            <w:pPr>
              <w:pStyle w:val="Compact"/>
              <w:jc w:val="right"/>
            </w:pPr>
            <w:r>
              <w:t xml:space="preserve">0.132</w:t>
            </w:r>
          </w:p>
        </w:tc>
        <w:tc>
          <w:tcPr/>
          <w:p>
            <w:pPr>
              <w:pStyle w:val="Compact"/>
              <w:jc w:val="left"/>
            </w:pPr>
            <w:r>
              <w:t xml:space="preserve">Common snook</w:t>
            </w:r>
          </w:p>
        </w:tc>
        <w:tc>
          <w:tcPr/>
          <w:p>
            <w:pPr>
              <w:pStyle w:val="Compact"/>
              <w:jc w:val="right"/>
            </w:pPr>
            <w:r>
              <w:t xml:space="preserve">0.114</w:t>
            </w:r>
          </w:p>
        </w:tc>
        <w:tc>
          <w:tcPr/>
          <w:p>
            <w:pPr>
              <w:pStyle w:val="Compact"/>
              <w:jc w:val="left"/>
            </w:pPr>
            <w:r>
              <w:t xml:space="preserve">Red grouper</w:t>
            </w:r>
          </w:p>
        </w:tc>
        <w:tc>
          <w:tcPr/>
          <w:p>
            <w:pPr>
              <w:pStyle w:val="Compact"/>
              <w:jc w:val="right"/>
            </w:pPr>
            <w:r>
              <w:t xml:space="preserve">0.077</w:t>
            </w:r>
          </w:p>
        </w:tc>
      </w:tr>
      <w:tr>
        <w:tc>
          <w:tcPr/>
          <w:p>
            <w:pPr>
              <w:pStyle w:val="Compact"/>
              <w:jc w:val="left"/>
            </w:pPr>
            <w:r>
              <w:t xml:space="preserve">Red drum</w:t>
            </w:r>
          </w:p>
        </w:tc>
        <w:tc>
          <w:tcPr/>
          <w:p>
            <w:pPr>
              <w:pStyle w:val="Compact"/>
              <w:jc w:val="right"/>
            </w:pPr>
            <w:r>
              <w:t xml:space="preserve">0.072</w:t>
            </w:r>
          </w:p>
        </w:tc>
        <w:tc>
          <w:tcPr/>
          <w:p>
            <w:pPr>
              <w:pStyle w:val="Compact"/>
              <w:jc w:val="left"/>
            </w:pPr>
            <w:r>
              <w:t xml:space="preserve">Red drum</w:t>
            </w:r>
          </w:p>
        </w:tc>
        <w:tc>
          <w:tcPr/>
          <w:p>
            <w:pPr>
              <w:pStyle w:val="Compact"/>
              <w:jc w:val="right"/>
            </w:pPr>
            <w:r>
              <w:t xml:space="preserve">0.093</w:t>
            </w:r>
          </w:p>
        </w:tc>
        <w:tc>
          <w:tcPr/>
          <w:p>
            <w:pPr>
              <w:pStyle w:val="Compact"/>
              <w:jc w:val="left"/>
            </w:pPr>
            <w:r>
              <w:t xml:space="preserve">Red grouper</w:t>
            </w:r>
          </w:p>
        </w:tc>
        <w:tc>
          <w:tcPr/>
          <w:p>
            <w:pPr>
              <w:pStyle w:val="Compact"/>
              <w:jc w:val="right"/>
            </w:pPr>
            <w:r>
              <w:t xml:space="preserve">0.073</w:t>
            </w:r>
          </w:p>
        </w:tc>
        <w:tc>
          <w:tcPr/>
          <w:p>
            <w:pPr>
              <w:pStyle w:val="Compact"/>
              <w:jc w:val="left"/>
            </w:pPr>
            <w:r>
              <w:t xml:space="preserve">Common snook</w:t>
            </w:r>
          </w:p>
        </w:tc>
        <w:tc>
          <w:tcPr/>
          <w:p>
            <w:pPr>
              <w:pStyle w:val="Compact"/>
              <w:jc w:val="right"/>
            </w:pPr>
            <w:r>
              <w:t xml:space="preserve">0.072</w:t>
            </w:r>
          </w:p>
        </w:tc>
      </w:tr>
      <w:tr>
        <w:tc>
          <w:tcPr/>
          <w:p>
            <w:pPr>
              <w:pStyle w:val="Compact"/>
              <w:jc w:val="left"/>
            </w:pPr>
            <w:r>
              <w:t xml:space="preserve">Red grouper</w:t>
            </w:r>
          </w:p>
        </w:tc>
        <w:tc>
          <w:tcPr/>
          <w:p>
            <w:pPr>
              <w:pStyle w:val="Compact"/>
              <w:jc w:val="right"/>
            </w:pPr>
            <w:r>
              <w:t xml:space="preserve">0.070</w:t>
            </w:r>
          </w:p>
        </w:tc>
        <w:tc>
          <w:tcPr/>
          <w:p>
            <w:pPr>
              <w:pStyle w:val="Compact"/>
              <w:jc w:val="left"/>
            </w:pPr>
            <w:r>
              <w:t xml:space="preserve">Red grouper</w:t>
            </w:r>
          </w:p>
        </w:tc>
        <w:tc>
          <w:tcPr/>
          <w:p>
            <w:pPr>
              <w:pStyle w:val="Compact"/>
              <w:jc w:val="right"/>
            </w:pPr>
            <w:r>
              <w:t xml:space="preserve">0.066</w:t>
            </w:r>
          </w:p>
        </w:tc>
        <w:tc>
          <w:tcPr/>
          <w:p>
            <w:pPr>
              <w:pStyle w:val="Compact"/>
              <w:jc w:val="left"/>
            </w:pPr>
            <w:r>
              <w:t xml:space="preserve">Red drum</w:t>
            </w:r>
          </w:p>
        </w:tc>
        <w:tc>
          <w:tcPr/>
          <w:p>
            <w:pPr>
              <w:pStyle w:val="Compact"/>
              <w:jc w:val="right"/>
            </w:pPr>
            <w:r>
              <w:t xml:space="preserve">0.055</w:t>
            </w:r>
          </w:p>
        </w:tc>
        <w:tc>
          <w:tcPr/>
          <w:p>
            <w:pPr>
              <w:pStyle w:val="Compact"/>
              <w:jc w:val="left"/>
            </w:pPr>
            <w:r>
              <w:t xml:space="preserve">Red drum</w:t>
            </w:r>
          </w:p>
        </w:tc>
        <w:tc>
          <w:tcPr/>
          <w:p>
            <w:pPr>
              <w:pStyle w:val="Compact"/>
              <w:jc w:val="right"/>
            </w:pPr>
            <w:r>
              <w:t xml:space="preserve">0.037</w:t>
            </w:r>
          </w:p>
        </w:tc>
      </w:tr>
      <w:tr>
        <w:tc>
          <w:tcPr/>
          <w:p>
            <w:pPr>
              <w:pStyle w:val="Compact"/>
              <w:jc w:val="left"/>
            </w:pPr>
            <w:r>
              <w:t xml:space="preserve">Gray snapper</w:t>
            </w:r>
          </w:p>
        </w:tc>
        <w:tc>
          <w:tcPr/>
          <w:p>
            <w:pPr>
              <w:pStyle w:val="Compact"/>
              <w:jc w:val="right"/>
            </w:pPr>
            <w:r>
              <w:t xml:space="preserve">0.036</w:t>
            </w:r>
          </w:p>
        </w:tc>
        <w:tc>
          <w:tcPr/>
          <w:p>
            <w:pPr>
              <w:pStyle w:val="Compact"/>
              <w:jc w:val="left"/>
            </w:pPr>
            <w:r>
              <w:t xml:space="preserve">Gray snapper</w:t>
            </w:r>
          </w:p>
        </w:tc>
        <w:tc>
          <w:tcPr/>
          <w:p>
            <w:pPr>
              <w:pStyle w:val="Compact"/>
              <w:jc w:val="right"/>
            </w:pPr>
            <w:r>
              <w:t xml:space="preserve">0.057</w:t>
            </w:r>
          </w:p>
        </w:tc>
        <w:tc>
          <w:tcPr/>
          <w:p>
            <w:pPr>
              <w:pStyle w:val="Compact"/>
              <w:jc w:val="left"/>
            </w:pPr>
            <w:r>
              <w:t xml:space="preserve">Atlantic tarpon</w:t>
            </w:r>
          </w:p>
        </w:tc>
        <w:tc>
          <w:tcPr/>
          <w:p>
            <w:pPr>
              <w:pStyle w:val="Compact"/>
              <w:jc w:val="right"/>
            </w:pPr>
            <w:r>
              <w:t xml:space="preserve">0.033</w:t>
            </w:r>
          </w:p>
        </w:tc>
        <w:tc>
          <w:tcPr/>
          <w:p>
            <w:pPr>
              <w:pStyle w:val="Compact"/>
              <w:jc w:val="left"/>
            </w:pPr>
            <w:r>
              <w:t xml:space="preserve">Sheepshead</w:t>
            </w:r>
          </w:p>
        </w:tc>
        <w:tc>
          <w:tcPr/>
          <w:p>
            <w:pPr>
              <w:pStyle w:val="Compact"/>
              <w:jc w:val="right"/>
            </w:pPr>
            <w:r>
              <w:t xml:space="preserve">0.035</w:t>
            </w:r>
          </w:p>
        </w:tc>
      </w:tr>
    </w:tbl>
    <w:p>
      <w:pPr>
        <w:pStyle w:val="BodyText"/>
      </w:pPr>
      <w:r>
        <w:rPr>
          <w:b/>
          <w:bCs/>
        </w:rPr>
        <w:t xml:space="preserve">Table 3. Proportions of species targeted by fishing trips made in Collier County by anglers from various origins, for 2014-2024.</w:t>
      </w:r>
      <w:r>
        <w:br/>
      </w:r>
      <w:r>
        <w:t xml:space="preserve">This table shows the top 5 species anglers fish in Collier County, depending on where they live.</w:t>
      </w:r>
      <w:r>
        <w:t xml:space="preserve"> </w:t>
      </w:r>
      <w:r>
        <w:rPr>
          <w:b/>
          <w:bCs/>
        </w:rPr>
        <w:t xml:space="preserve">Columns 1-2</w:t>
      </w:r>
      <w:r>
        <w:t xml:space="preserve"> </w:t>
      </w:r>
      <w:r>
        <w:t xml:space="preserve">shows what anglers fish for in Collier County regardless of where they come from.</w:t>
      </w:r>
      <w:r>
        <w:t xml:space="preserve"> </w:t>
      </w:r>
      <w:r>
        <w:rPr>
          <w:b/>
          <w:bCs/>
        </w:rPr>
        <w:t xml:space="preserve">Columns 3-4</w:t>
      </w:r>
      <w:r>
        <w:t xml:space="preserve"> </w:t>
      </w:r>
      <w:r>
        <w:t xml:space="preserve">shows what Collier County resident anglers fish for,</w:t>
      </w:r>
      <w:r>
        <w:t xml:space="preserve"> </w:t>
      </w:r>
      <w:r>
        <w:rPr>
          <w:b/>
          <w:bCs/>
        </w:rPr>
        <w:t xml:space="preserve">Columns 5-6</w:t>
      </w:r>
      <w:r>
        <w:t xml:space="preserve"> </w:t>
      </w:r>
      <w:r>
        <w:t xml:space="preserve">shows what anglers who live in Florida but not Collier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ipos624@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65C6B9-2E39-4698-AECB-F41021690303}"/>
</file>

<file path=customXml/itemProps2.xml><?xml version="1.0" encoding="utf-8"?>
<ds:datastoreItem xmlns:ds="http://schemas.openxmlformats.org/officeDocument/2006/customXml" ds:itemID="{E471BF83-5DC6-4117-AA18-56429879A77A}"/>
</file>

<file path=customXml/itemProps3.xml><?xml version="1.0" encoding="utf-8"?>
<ds:datastoreItem xmlns:ds="http://schemas.openxmlformats.org/officeDocument/2006/customXml" ds:itemID="{3818D16A-D4D7-473C-ABDC-7AE7310121F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Collier County</dc:title>
  <dc:creator>Prepared for Collier County by Ed Camp (edvcamp@ufl.edu) Assistant Professor University of Florida, and Michael Sipos, Florida Sea Grant Extension Agent Collier County, sipos624@ufl.edu</dc:creator>
  <cp:keywords/>
  <dcterms:created xsi:type="dcterms:W3CDTF">2025-03-13T18:46:52Z</dcterms:created>
  <dcterms:modified xsi:type="dcterms:W3CDTF">2025-03-13T18:46:52Z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