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Dixie County</w:t>
      </w:r>
    </w:p>
    <w:p>
      <w:pPr>
        <w:pStyle w:val="Author"/>
      </w:pPr>
      <w:r>
        <w:t xml:space="preserve">Prepared for Dixie County by Ed Camp (</w:t>
      </w:r>
      <w:hyperlink r:id="rId20">
        <w:r>
          <w:rPr>
            <w:rStyle w:val="Hyperlink"/>
          </w:rPr>
          <w:t xml:space="preserve">edvcamp@ufl.edu</w:t>
        </w:r>
      </w:hyperlink>
      <w:r>
        <w:t xml:space="preserve">) Assistant Professor University of Florida, and Savanna Barry, Florida Sea Grant Regional Specialized Extension Agent Nature Coast,</w:t>
      </w:r>
      <w:r>
        <w:t xml:space="preserve"> </w:t>
      </w:r>
      <w:hyperlink r:id="rId21">
        <w:r>
          <w:rPr>
            <w:rStyle w:val="Hyperlink"/>
          </w:rPr>
          <w:t xml:space="preserve">savanna.barry@ufl.edu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Dixie County</w:t>
      </w:r>
      <w:r>
        <w:t xml:space="preserve">. The report describes information about where people come from when they fish Dixie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Dixie County</w:t>
      </w:r>
      <w:r>
        <w:t xml:space="preserve">, which Savanna Barry can provide you.</w:t>
      </w:r>
    </w:p>
    <w:p>
      <w:pPr>
        <w:pStyle w:val="BodyText"/>
      </w:pPr>
    </w:p>
    <w:bookmarkEnd w:id="22"/>
    <w:bookmarkStart w:id="25" w:name="X1e62dfef80be97139fe2ec10fdffa4d9b2c0fd6"/>
    <w:p>
      <w:pPr>
        <w:pStyle w:val="Heading3"/>
      </w:pPr>
      <w:r>
        <w:t xml:space="preserve">Where people come from to fish Dixie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662"/>
        <w:gridCol w:w="586"/>
        <w:gridCol w:w="2346"/>
        <w:gridCol w:w="586"/>
        <w:gridCol w:w="2151"/>
        <w:gridCol w:w="586"/>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North Big Bend</w:t>
            </w:r>
          </w:p>
        </w:tc>
        <w:tc>
          <w:tcPr/>
          <w:p>
            <w:pPr>
              <w:pStyle w:val="Compact"/>
              <w:jc w:val="right"/>
            </w:pPr>
            <w:r>
              <w:t xml:space="preserve">Prop.</w:t>
            </w:r>
          </w:p>
        </w:tc>
        <w:tc>
          <w:tcPr/>
          <w:p>
            <w:pPr>
              <w:pStyle w:val="Compact"/>
              <w:jc w:val="left"/>
            </w:pPr>
            <w:r>
              <w:t xml:space="preserve">Trips to Dixie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Georgia</w:t>
            </w:r>
          </w:p>
        </w:tc>
        <w:tc>
          <w:tcPr/>
          <w:p>
            <w:pPr>
              <w:pStyle w:val="Compact"/>
              <w:jc w:val="right"/>
            </w:pPr>
            <w:r>
              <w:t xml:space="preserve">0.852</w:t>
            </w:r>
          </w:p>
        </w:tc>
        <w:tc>
          <w:tcPr/>
          <w:p>
            <w:pPr>
              <w:pStyle w:val="Compact"/>
              <w:jc w:val="left"/>
            </w:pPr>
            <w:r>
              <w:t xml:space="preserve">Georgia</w:t>
            </w:r>
          </w:p>
        </w:tc>
        <w:tc>
          <w:tcPr/>
          <w:p>
            <w:pPr>
              <w:pStyle w:val="Compact"/>
              <w:jc w:val="right"/>
            </w:pPr>
            <w:r>
              <w:t xml:space="preserve">0.592</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Alabama</w:t>
            </w:r>
          </w:p>
        </w:tc>
        <w:tc>
          <w:tcPr/>
          <w:p>
            <w:pPr>
              <w:pStyle w:val="Compact"/>
              <w:jc w:val="right"/>
            </w:pPr>
            <w:r>
              <w:t xml:space="preserve">0.032</w:t>
            </w:r>
          </w:p>
        </w:tc>
        <w:tc>
          <w:tcPr/>
          <w:p>
            <w:pPr>
              <w:pStyle w:val="Compact"/>
              <w:jc w:val="left"/>
            </w:pPr>
            <w:r>
              <w:t xml:space="preserve">Tennessee</w:t>
            </w:r>
          </w:p>
        </w:tc>
        <w:tc>
          <w:tcPr/>
          <w:p>
            <w:pPr>
              <w:pStyle w:val="Compact"/>
              <w:jc w:val="right"/>
            </w:pPr>
            <w:r>
              <w:t xml:space="preserve">0.122</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Tennessee</w:t>
            </w:r>
          </w:p>
        </w:tc>
        <w:tc>
          <w:tcPr/>
          <w:p>
            <w:pPr>
              <w:pStyle w:val="Compact"/>
              <w:jc w:val="right"/>
            </w:pPr>
            <w:r>
              <w:t xml:space="preserve">0.025</w:t>
            </w:r>
          </w:p>
        </w:tc>
        <w:tc>
          <w:tcPr/>
          <w:p>
            <w:pPr>
              <w:pStyle w:val="Compact"/>
              <w:jc w:val="left"/>
            </w:pPr>
            <w:r>
              <w:t xml:space="preserve">Michigan</w:t>
            </w:r>
          </w:p>
        </w:tc>
        <w:tc>
          <w:tcPr/>
          <w:p>
            <w:pPr>
              <w:pStyle w:val="Compact"/>
              <w:jc w:val="right"/>
            </w:pPr>
            <w:r>
              <w:t xml:space="preserve">0.051</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South Carolina</w:t>
            </w:r>
          </w:p>
        </w:tc>
        <w:tc>
          <w:tcPr/>
          <w:p>
            <w:pPr>
              <w:pStyle w:val="Compact"/>
              <w:jc w:val="right"/>
            </w:pPr>
            <w:r>
              <w:t xml:space="preserve">0.017</w:t>
            </w:r>
          </w:p>
        </w:tc>
        <w:tc>
          <w:tcPr/>
          <w:p>
            <w:pPr>
              <w:pStyle w:val="Compact"/>
              <w:jc w:val="left"/>
            </w:pPr>
            <w:r>
              <w:t xml:space="preserve">Ohio</w:t>
            </w:r>
          </w:p>
        </w:tc>
        <w:tc>
          <w:tcPr/>
          <w:p>
            <w:pPr>
              <w:pStyle w:val="Compact"/>
              <w:jc w:val="right"/>
            </w:pPr>
            <w:r>
              <w:t xml:space="preserve">0.051</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North Carolina</w:t>
            </w:r>
          </w:p>
        </w:tc>
        <w:tc>
          <w:tcPr/>
          <w:p>
            <w:pPr>
              <w:pStyle w:val="Compact"/>
              <w:jc w:val="right"/>
            </w:pPr>
            <w:r>
              <w:t xml:space="preserve">0.014</w:t>
            </w:r>
          </w:p>
        </w:tc>
        <w:tc>
          <w:tcPr/>
          <w:p>
            <w:pPr>
              <w:pStyle w:val="Compact"/>
              <w:jc w:val="left"/>
            </w:pPr>
            <w:r>
              <w:t xml:space="preserve">Alabama</w:t>
            </w:r>
          </w:p>
        </w:tc>
        <w:tc>
          <w:tcPr/>
          <w:p>
            <w:pPr>
              <w:pStyle w:val="Compact"/>
              <w:jc w:val="right"/>
            </w:pPr>
            <w:r>
              <w:t xml:space="preserve">0.041</w:t>
            </w:r>
          </w:p>
        </w:tc>
      </w:tr>
    </w:tbl>
    <w:p>
      <w:pPr>
        <w:pStyle w:val="BodyText"/>
      </w:pPr>
      <w:r>
        <w:rPr>
          <w:b/>
          <w:bCs/>
        </w:rPr>
        <w:t xml:space="preserve">Table 1. The origins of out-of-state angler trips for Florida, the region, and specifically Dixie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Dixie County. Comparing the columns shows how Dixie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Alachua</w:t>
            </w:r>
          </w:p>
        </w:tc>
        <w:tc>
          <w:tcPr/>
          <w:p>
            <w:pPr>
              <w:pStyle w:val="Compact"/>
              <w:jc w:val="right"/>
            </w:pPr>
            <w:r>
              <w:t xml:space="preserve">0.286</w:t>
            </w:r>
          </w:p>
        </w:tc>
        <w:tc>
          <w:tcPr/>
          <w:p>
            <w:pPr>
              <w:pStyle w:val="Compact"/>
              <w:jc w:val="left"/>
            </w:pPr>
            <w:r>
              <w:t xml:space="preserve">Alachua</w:t>
            </w:r>
          </w:p>
        </w:tc>
        <w:tc>
          <w:tcPr/>
          <w:p>
            <w:pPr>
              <w:pStyle w:val="Compact"/>
              <w:jc w:val="right"/>
            </w:pPr>
            <w:r>
              <w:t xml:space="preserve">0.244</w:t>
            </w:r>
          </w:p>
        </w:tc>
      </w:tr>
      <w:tr>
        <w:tc>
          <w:tcPr/>
          <w:p>
            <w:pPr>
              <w:pStyle w:val="Compact"/>
              <w:jc w:val="left"/>
            </w:pPr>
            <w:r>
              <w:t xml:space="preserve">Columbia</w:t>
            </w:r>
          </w:p>
        </w:tc>
        <w:tc>
          <w:tcPr/>
          <w:p>
            <w:pPr>
              <w:pStyle w:val="Compact"/>
              <w:jc w:val="right"/>
            </w:pPr>
            <w:r>
              <w:t xml:space="preserve">0.180</w:t>
            </w:r>
          </w:p>
        </w:tc>
        <w:tc>
          <w:tcPr/>
          <w:p>
            <w:pPr>
              <w:pStyle w:val="Compact"/>
              <w:jc w:val="left"/>
            </w:pPr>
            <w:r>
              <w:t xml:space="preserve">Columbia</w:t>
            </w:r>
          </w:p>
        </w:tc>
        <w:tc>
          <w:tcPr/>
          <w:p>
            <w:pPr>
              <w:pStyle w:val="Compact"/>
              <w:jc w:val="right"/>
            </w:pPr>
            <w:r>
              <w:t xml:space="preserve">0.153</w:t>
            </w:r>
          </w:p>
        </w:tc>
      </w:tr>
      <w:tr>
        <w:tc>
          <w:tcPr/>
          <w:p>
            <w:pPr>
              <w:pStyle w:val="Compact"/>
              <w:jc w:val="left"/>
            </w:pPr>
            <w:r>
              <w:t xml:space="preserve">Gilchrist</w:t>
            </w:r>
          </w:p>
        </w:tc>
        <w:tc>
          <w:tcPr/>
          <w:p>
            <w:pPr>
              <w:pStyle w:val="Compact"/>
              <w:jc w:val="right"/>
            </w:pPr>
            <w:r>
              <w:t xml:space="preserve">0.113</w:t>
            </w:r>
          </w:p>
        </w:tc>
        <w:tc>
          <w:tcPr/>
          <w:p>
            <w:pPr>
              <w:pStyle w:val="Compact"/>
              <w:jc w:val="left"/>
            </w:pPr>
            <w:r>
              <w:t xml:space="preserve">Dixie</w:t>
            </w:r>
          </w:p>
        </w:tc>
        <w:tc>
          <w:tcPr/>
          <w:p>
            <w:pPr>
              <w:pStyle w:val="Compact"/>
              <w:jc w:val="right"/>
            </w:pPr>
            <w:r>
              <w:t xml:space="preserve">0.147</w:t>
            </w:r>
          </w:p>
        </w:tc>
      </w:tr>
      <w:tr>
        <w:tc>
          <w:tcPr/>
          <w:p>
            <w:pPr>
              <w:pStyle w:val="Compact"/>
              <w:jc w:val="left"/>
            </w:pPr>
            <w:r>
              <w:t xml:space="preserve">Suwannee</w:t>
            </w:r>
          </w:p>
        </w:tc>
        <w:tc>
          <w:tcPr/>
          <w:p>
            <w:pPr>
              <w:pStyle w:val="Compact"/>
              <w:jc w:val="right"/>
            </w:pPr>
            <w:r>
              <w:t xml:space="preserve">0.075</w:t>
            </w:r>
          </w:p>
        </w:tc>
        <w:tc>
          <w:tcPr/>
          <w:p>
            <w:pPr>
              <w:pStyle w:val="Compact"/>
              <w:jc w:val="left"/>
            </w:pPr>
            <w:r>
              <w:t xml:space="preserve">Gilchrist</w:t>
            </w:r>
          </w:p>
        </w:tc>
        <w:tc>
          <w:tcPr/>
          <w:p>
            <w:pPr>
              <w:pStyle w:val="Compact"/>
              <w:jc w:val="right"/>
            </w:pPr>
            <w:r>
              <w:t xml:space="preserve">0.096</w:t>
            </w:r>
          </w:p>
        </w:tc>
      </w:tr>
      <w:tr>
        <w:tc>
          <w:tcPr/>
          <w:p>
            <w:pPr>
              <w:pStyle w:val="Compact"/>
              <w:jc w:val="left"/>
            </w:pPr>
            <w:r>
              <w:t xml:space="preserve">Levy</w:t>
            </w:r>
          </w:p>
        </w:tc>
        <w:tc>
          <w:tcPr/>
          <w:p>
            <w:pPr>
              <w:pStyle w:val="Compact"/>
              <w:jc w:val="right"/>
            </w:pPr>
            <w:r>
              <w:t xml:space="preserve">0.050</w:t>
            </w:r>
          </w:p>
        </w:tc>
        <w:tc>
          <w:tcPr/>
          <w:p>
            <w:pPr>
              <w:pStyle w:val="Compact"/>
              <w:jc w:val="left"/>
            </w:pPr>
            <w:r>
              <w:t xml:space="preserve">Suwannee</w:t>
            </w:r>
          </w:p>
        </w:tc>
        <w:tc>
          <w:tcPr/>
          <w:p>
            <w:pPr>
              <w:pStyle w:val="Compact"/>
              <w:jc w:val="right"/>
            </w:pPr>
            <w:r>
              <w:t xml:space="preserve">0.064</w:t>
            </w:r>
          </w:p>
        </w:tc>
      </w:tr>
    </w:tbl>
    <w:p>
      <w:pPr>
        <w:pStyle w:val="BodyText"/>
      </w:pPr>
      <w:r>
        <w:rPr>
          <w:b/>
          <w:bCs/>
        </w:rPr>
        <w:t xml:space="preserve">Table 2. The origins of Florida resident anglers fishing in Dixie County, for 2014-2024.</w:t>
      </w:r>
      <w:r>
        <w:br/>
      </w:r>
      <w:r>
        <w:t xml:space="preserve">This table shows where Florida resident anglers come from when they fish Dixie County.</w:t>
      </w:r>
      <w:r>
        <w:t xml:space="preserve"> </w:t>
      </w:r>
      <w:r>
        <w:rPr>
          <w:b/>
          <w:bCs/>
        </w:rPr>
        <w:t xml:space="preserve">Columns 1 &amp; 2</w:t>
      </w:r>
      <w:r>
        <w:rPr>
          <w:b/>
          <w:bCs/>
        </w:rPr>
        <w:t xml:space="preserve"> </w:t>
      </w:r>
      <w:r>
        <w:t xml:space="preserve"> </w:t>
      </w:r>
      <w:r>
        <w:t xml:space="preserve">show origins of trips in Dixie County by anglers who are</w:t>
      </w:r>
      <w:r>
        <w:t xml:space="preserve"> </w:t>
      </w:r>
      <w:r>
        <w:rPr>
          <w:b/>
          <w:bCs/>
        </w:rPr>
        <w:t xml:space="preserve">not</w:t>
      </w:r>
      <w:r>
        <w:t xml:space="preserve"> </w:t>
      </w:r>
      <w:r>
        <w:t xml:space="preserve">residents of Dixie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Dixie County. This information can be used to identifying in-state advertising.</w:t>
      </w:r>
    </w:p>
    <w:p>
      <w:pPr>
        <w:pStyle w:val="BodyText"/>
      </w:pPr>
    </w:p>
    <w:bookmarkEnd w:id="24"/>
    <w:bookmarkEnd w:id="25"/>
    <w:bookmarkStart w:id="27" w:name="what-people-fish-for-in-dixie-county"/>
    <w:p>
      <w:pPr>
        <w:pStyle w:val="Heading3"/>
      </w:pPr>
      <w:r>
        <w:t xml:space="preserve">What people fish for in Dixie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768"/>
        <w:gridCol w:w="461"/>
        <w:gridCol w:w="1307"/>
        <w:gridCol w:w="461"/>
        <w:gridCol w:w="1537"/>
        <w:gridCol w:w="461"/>
        <w:gridCol w:w="1460"/>
        <w:gridCol w:w="461"/>
      </w:tblGrid>
      <w:tr>
        <w:trPr>
          <w:tblHeader w:val="on"/>
        </w:trPr>
        <w:tc>
          <w:tcPr/>
          <w:p>
            <w:pPr>
              <w:pStyle w:val="Compact"/>
              <w:jc w:val="left"/>
            </w:pPr>
            <w:r>
              <w:t xml:space="preserve">All Dixie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Spotted seatrout</w:t>
            </w:r>
          </w:p>
        </w:tc>
        <w:tc>
          <w:tcPr/>
          <w:p>
            <w:pPr>
              <w:pStyle w:val="Compact"/>
              <w:jc w:val="right"/>
            </w:pPr>
            <w:r>
              <w:t xml:space="preserve">0.343</w:t>
            </w:r>
          </w:p>
        </w:tc>
        <w:tc>
          <w:tcPr/>
          <w:p>
            <w:pPr>
              <w:pStyle w:val="Compact"/>
              <w:jc w:val="left"/>
            </w:pPr>
            <w:r>
              <w:t xml:space="preserve">No Target</w:t>
            </w:r>
          </w:p>
        </w:tc>
        <w:tc>
          <w:tcPr/>
          <w:p>
            <w:pPr>
              <w:pStyle w:val="Compact"/>
              <w:jc w:val="right"/>
            </w:pPr>
            <w:r>
              <w:t xml:space="preserve">0.396</w:t>
            </w:r>
          </w:p>
        </w:tc>
        <w:tc>
          <w:tcPr/>
          <w:p>
            <w:pPr>
              <w:pStyle w:val="Compact"/>
              <w:jc w:val="left"/>
            </w:pPr>
            <w:r>
              <w:t xml:space="preserve">Spotted seatrout</w:t>
            </w:r>
          </w:p>
        </w:tc>
        <w:tc>
          <w:tcPr/>
          <w:p>
            <w:pPr>
              <w:pStyle w:val="Compact"/>
              <w:jc w:val="right"/>
            </w:pPr>
            <w:r>
              <w:t xml:space="preserve">0.360</w:t>
            </w:r>
          </w:p>
        </w:tc>
        <w:tc>
          <w:tcPr/>
          <w:p>
            <w:pPr>
              <w:pStyle w:val="Compact"/>
              <w:jc w:val="left"/>
            </w:pPr>
            <w:r>
              <w:t xml:space="preserve">Spotted seatrout</w:t>
            </w:r>
          </w:p>
        </w:tc>
        <w:tc>
          <w:tcPr/>
          <w:p>
            <w:pPr>
              <w:pStyle w:val="Compact"/>
              <w:jc w:val="right"/>
            </w:pPr>
            <w:r>
              <w:t xml:space="preserve">0.378</w:t>
            </w:r>
          </w:p>
        </w:tc>
      </w:tr>
      <w:tr>
        <w:tc>
          <w:tcPr/>
          <w:p>
            <w:pPr>
              <w:pStyle w:val="Compact"/>
              <w:jc w:val="left"/>
            </w:pPr>
            <w:r>
              <w:t xml:space="preserve">Red drum</w:t>
            </w:r>
          </w:p>
        </w:tc>
        <w:tc>
          <w:tcPr/>
          <w:p>
            <w:pPr>
              <w:pStyle w:val="Compact"/>
              <w:jc w:val="right"/>
            </w:pPr>
            <w:r>
              <w:t xml:space="preserve">0.317</w:t>
            </w:r>
          </w:p>
        </w:tc>
        <w:tc>
          <w:tcPr/>
          <w:p>
            <w:pPr>
              <w:pStyle w:val="Compact"/>
              <w:jc w:val="left"/>
            </w:pPr>
            <w:r>
              <w:t xml:space="preserve">Red drum</w:t>
            </w:r>
          </w:p>
        </w:tc>
        <w:tc>
          <w:tcPr/>
          <w:p>
            <w:pPr>
              <w:pStyle w:val="Compact"/>
              <w:jc w:val="right"/>
            </w:pPr>
            <w:r>
              <w:t xml:space="preserve">0.262</w:t>
            </w:r>
          </w:p>
        </w:tc>
        <w:tc>
          <w:tcPr/>
          <w:p>
            <w:pPr>
              <w:pStyle w:val="Compact"/>
              <w:jc w:val="left"/>
            </w:pPr>
            <w:r>
              <w:t xml:space="preserve">Red drum</w:t>
            </w:r>
          </w:p>
        </w:tc>
        <w:tc>
          <w:tcPr/>
          <w:p>
            <w:pPr>
              <w:pStyle w:val="Compact"/>
              <w:jc w:val="right"/>
            </w:pPr>
            <w:r>
              <w:t xml:space="preserve">0.325</w:t>
            </w:r>
          </w:p>
        </w:tc>
        <w:tc>
          <w:tcPr/>
          <w:p>
            <w:pPr>
              <w:pStyle w:val="Compact"/>
              <w:jc w:val="left"/>
            </w:pPr>
            <w:r>
              <w:t xml:space="preserve">Red drum</w:t>
            </w:r>
          </w:p>
        </w:tc>
        <w:tc>
          <w:tcPr/>
          <w:p>
            <w:pPr>
              <w:pStyle w:val="Compact"/>
              <w:jc w:val="right"/>
            </w:pPr>
            <w:r>
              <w:t xml:space="preserve">0.286</w:t>
            </w:r>
          </w:p>
        </w:tc>
      </w:tr>
      <w:tr>
        <w:tc>
          <w:tcPr/>
          <w:p>
            <w:pPr>
              <w:pStyle w:val="Compact"/>
              <w:jc w:val="left"/>
            </w:pPr>
            <w:r>
              <w:t xml:space="preserve">No Target</w:t>
            </w:r>
          </w:p>
        </w:tc>
        <w:tc>
          <w:tcPr/>
          <w:p>
            <w:pPr>
              <w:pStyle w:val="Compact"/>
              <w:jc w:val="right"/>
            </w:pPr>
            <w:r>
              <w:t xml:space="preserve">0.213</w:t>
            </w:r>
          </w:p>
        </w:tc>
        <w:tc>
          <w:tcPr/>
          <w:p>
            <w:pPr>
              <w:pStyle w:val="Compact"/>
              <w:jc w:val="left"/>
            </w:pPr>
            <w:r>
              <w:t xml:space="preserve">Spotted seatrout</w:t>
            </w:r>
          </w:p>
        </w:tc>
        <w:tc>
          <w:tcPr/>
          <w:p>
            <w:pPr>
              <w:pStyle w:val="Compact"/>
              <w:jc w:val="right"/>
            </w:pPr>
            <w:r>
              <w:t xml:space="preserve">0.228</w:t>
            </w:r>
          </w:p>
        </w:tc>
        <w:tc>
          <w:tcPr/>
          <w:p>
            <w:pPr>
              <w:pStyle w:val="Compact"/>
              <w:jc w:val="left"/>
            </w:pPr>
            <w:r>
              <w:t xml:space="preserve">No Target</w:t>
            </w:r>
          </w:p>
        </w:tc>
        <w:tc>
          <w:tcPr/>
          <w:p>
            <w:pPr>
              <w:pStyle w:val="Compact"/>
              <w:jc w:val="right"/>
            </w:pPr>
            <w:r>
              <w:t xml:space="preserve">0.185</w:t>
            </w:r>
          </w:p>
        </w:tc>
        <w:tc>
          <w:tcPr/>
          <w:p>
            <w:pPr>
              <w:pStyle w:val="Compact"/>
              <w:jc w:val="left"/>
            </w:pPr>
            <w:r>
              <w:t xml:space="preserve">No Target</w:t>
            </w:r>
          </w:p>
        </w:tc>
        <w:tc>
          <w:tcPr/>
          <w:p>
            <w:pPr>
              <w:pStyle w:val="Compact"/>
              <w:jc w:val="right"/>
            </w:pPr>
            <w:r>
              <w:t xml:space="preserve">0.204</w:t>
            </w:r>
          </w:p>
        </w:tc>
      </w:tr>
      <w:tr>
        <w:tc>
          <w:tcPr/>
          <w:p>
            <w:pPr>
              <w:pStyle w:val="Compact"/>
              <w:jc w:val="left"/>
            </w:pPr>
            <w:r>
              <w:t xml:space="preserve">Red snapper</w:t>
            </w:r>
          </w:p>
        </w:tc>
        <w:tc>
          <w:tcPr/>
          <w:p>
            <w:pPr>
              <w:pStyle w:val="Compact"/>
              <w:jc w:val="right"/>
            </w:pPr>
            <w:r>
              <w:t xml:space="preserve">0.029</w:t>
            </w:r>
          </w:p>
        </w:tc>
        <w:tc>
          <w:tcPr/>
          <w:p>
            <w:pPr>
              <w:pStyle w:val="Compact"/>
              <w:jc w:val="left"/>
            </w:pPr>
            <w:r>
              <w:t xml:space="preserve">Red snapper</w:t>
            </w:r>
          </w:p>
        </w:tc>
        <w:tc>
          <w:tcPr/>
          <w:p>
            <w:pPr>
              <w:pStyle w:val="Compact"/>
              <w:jc w:val="right"/>
            </w:pPr>
            <w:r>
              <w:t xml:space="preserve">0.040</w:t>
            </w:r>
          </w:p>
        </w:tc>
        <w:tc>
          <w:tcPr/>
          <w:p>
            <w:pPr>
              <w:pStyle w:val="Compact"/>
              <w:jc w:val="left"/>
            </w:pPr>
            <w:r>
              <w:t xml:space="preserve">Red snapper</w:t>
            </w:r>
          </w:p>
        </w:tc>
        <w:tc>
          <w:tcPr/>
          <w:p>
            <w:pPr>
              <w:pStyle w:val="Compact"/>
              <w:jc w:val="right"/>
            </w:pPr>
            <w:r>
              <w:t xml:space="preserve">0.027</w:t>
            </w:r>
          </w:p>
        </w:tc>
        <w:tc>
          <w:tcPr/>
          <w:p>
            <w:pPr>
              <w:pStyle w:val="Compact"/>
              <w:jc w:val="left"/>
            </w:pPr>
            <w:r>
              <w:t xml:space="preserve">Sand seatrout</w:t>
            </w:r>
          </w:p>
        </w:tc>
        <w:tc>
          <w:tcPr/>
          <w:p>
            <w:pPr>
              <w:pStyle w:val="Compact"/>
              <w:jc w:val="right"/>
            </w:pPr>
            <w:r>
              <w:t xml:space="preserve">0.061</w:t>
            </w:r>
          </w:p>
        </w:tc>
      </w:tr>
      <w:tr>
        <w:tc>
          <w:tcPr/>
          <w:p>
            <w:pPr>
              <w:pStyle w:val="Compact"/>
              <w:jc w:val="left"/>
            </w:pPr>
            <w:r>
              <w:t xml:space="preserve">Spanish mackerel</w:t>
            </w:r>
          </w:p>
        </w:tc>
        <w:tc>
          <w:tcPr/>
          <w:p>
            <w:pPr>
              <w:pStyle w:val="Compact"/>
              <w:jc w:val="right"/>
            </w:pPr>
            <w:r>
              <w:t xml:space="preserve">0.017</w:t>
            </w:r>
          </w:p>
        </w:tc>
        <w:tc>
          <w:tcPr/>
          <w:p>
            <w:pPr>
              <w:pStyle w:val="Compact"/>
              <w:jc w:val="left"/>
            </w:pPr>
            <w:r>
              <w:t xml:space="preserve">Cobia</w:t>
            </w:r>
          </w:p>
        </w:tc>
        <w:tc>
          <w:tcPr/>
          <w:p>
            <w:pPr>
              <w:pStyle w:val="Compact"/>
              <w:jc w:val="right"/>
            </w:pPr>
            <w:r>
              <w:t xml:space="preserve">0.020</w:t>
            </w:r>
          </w:p>
        </w:tc>
        <w:tc>
          <w:tcPr/>
          <w:p>
            <w:pPr>
              <w:pStyle w:val="Compact"/>
              <w:jc w:val="left"/>
            </w:pPr>
            <w:r>
              <w:t xml:space="preserve">Spanish mackerel</w:t>
            </w:r>
          </w:p>
        </w:tc>
        <w:tc>
          <w:tcPr/>
          <w:p>
            <w:pPr>
              <w:pStyle w:val="Compact"/>
              <w:jc w:val="right"/>
            </w:pPr>
            <w:r>
              <w:t xml:space="preserve">0.020</w:t>
            </w:r>
          </w:p>
        </w:tc>
        <w:tc>
          <w:tcPr/>
          <w:p>
            <w:pPr>
              <w:pStyle w:val="Compact"/>
              <w:jc w:val="left"/>
            </w:pPr>
            <w:r>
              <w:t xml:space="preserve">Red snapper</w:t>
            </w:r>
          </w:p>
        </w:tc>
        <w:tc>
          <w:tcPr/>
          <w:p>
            <w:pPr>
              <w:pStyle w:val="Compact"/>
              <w:jc w:val="right"/>
            </w:pPr>
            <w:r>
              <w:t xml:space="preserve">0.031</w:t>
            </w:r>
          </w:p>
        </w:tc>
      </w:tr>
    </w:tbl>
    <w:p>
      <w:pPr>
        <w:pStyle w:val="BodyText"/>
      </w:pPr>
      <w:r>
        <w:rPr>
          <w:b/>
          <w:bCs/>
        </w:rPr>
        <w:t xml:space="preserve">Table 3. Proportions of species targeted by fishing trips made in Dixie County by anglers from various origins, for 2014-2024.</w:t>
      </w:r>
      <w:r>
        <w:br/>
      </w:r>
      <w:r>
        <w:t xml:space="preserve">This table shows the top 5 species anglers fish in Dixie County, depending on where they live.</w:t>
      </w:r>
      <w:r>
        <w:t xml:space="preserve"> </w:t>
      </w:r>
      <w:r>
        <w:rPr>
          <w:b/>
          <w:bCs/>
        </w:rPr>
        <w:t xml:space="preserve">Columns 1-2</w:t>
      </w:r>
      <w:r>
        <w:t xml:space="preserve"> </w:t>
      </w:r>
      <w:r>
        <w:t xml:space="preserve">shows what anglers fish for in Dixie County regardless of where they come from.</w:t>
      </w:r>
      <w:r>
        <w:t xml:space="preserve"> </w:t>
      </w:r>
      <w:r>
        <w:rPr>
          <w:b/>
          <w:bCs/>
        </w:rPr>
        <w:t xml:space="preserve">Columns 3-4</w:t>
      </w:r>
      <w:r>
        <w:t xml:space="preserve"> </w:t>
      </w:r>
      <w:r>
        <w:t xml:space="preserve">shows what Dixie County resident anglers fish for,</w:t>
      </w:r>
      <w:r>
        <w:t xml:space="preserve"> </w:t>
      </w:r>
      <w:r>
        <w:rPr>
          <w:b/>
          <w:bCs/>
        </w:rPr>
        <w:t xml:space="preserve">Columns 5-6</w:t>
      </w:r>
      <w:r>
        <w:t xml:space="preserve"> </w:t>
      </w:r>
      <w:r>
        <w:t xml:space="preserve">shows what anglers who live in Florida but not Dixie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savanna.barry@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E182BA-79A4-4F0F-A76C-5D59321445CE}"/>
</file>

<file path=customXml/itemProps2.xml><?xml version="1.0" encoding="utf-8"?>
<ds:datastoreItem xmlns:ds="http://schemas.openxmlformats.org/officeDocument/2006/customXml" ds:itemID="{7A523897-82C7-4BFB-B1AA-6E2D9A59D1FC}"/>
</file>

<file path=customXml/itemProps3.xml><?xml version="1.0" encoding="utf-8"?>
<ds:datastoreItem xmlns:ds="http://schemas.openxmlformats.org/officeDocument/2006/customXml" ds:itemID="{BCF0D064-085B-4DA5-9AD5-61BF0347F48D}"/>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Dixie County</dc:title>
  <dc:creator>Prepared for Dixie County by Ed Camp (edvcamp@ufl.edu) Assistant Professor University of Florida, and Savanna Barry, Florida Sea Grant Regional Specialized Extension Agent Nature Coast, savanna.barry@ufl.edu</dc:creator>
  <cp:keywords/>
  <dcterms:created xsi:type="dcterms:W3CDTF">2025-03-13T18:47:08Z</dcterms:created>
  <dcterms:modified xsi:type="dcterms:W3CDTF">2025-03-13T18:47:08Z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