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Duval County</w:t>
      </w:r>
    </w:p>
    <w:p>
      <w:pPr>
        <w:pStyle w:val="Author"/>
      </w:pPr>
      <w:r>
        <w:t xml:space="preserve">Prepared for Duval County by Ed Camp (</w:t>
      </w:r>
      <w:hyperlink r:id="rId20">
        <w:r>
          <w:rPr>
            <w:rStyle w:val="Hyperlink"/>
          </w:rPr>
          <w:t xml:space="preserve">edvcamp@ufl.edu</w:t>
        </w:r>
      </w:hyperlink>
      <w:r>
        <w:t xml:space="preserve">) Assistant Professor University of Florida</w:t>
      </w:r>
    </w:p>
    <w:bookmarkStart w:id="21"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Duval County</w:t>
      </w:r>
      <w:r>
        <w:t xml:space="preserve">. The report describes information about where people come from when they fish Duval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Duval County</w:t>
      </w:r>
      <w:r>
        <w:t xml:space="preserve">, which can provide you.</w:t>
      </w:r>
    </w:p>
    <w:p>
      <w:pPr>
        <w:pStyle w:val="BodyText"/>
      </w:pPr>
    </w:p>
    <w:bookmarkEnd w:id="21"/>
    <w:bookmarkStart w:id="24" w:name="Xf6091961d9622f88db1ef1f0a344083bdfa5987"/>
    <w:p>
      <w:pPr>
        <w:pStyle w:val="Heading3"/>
      </w:pPr>
      <w:r>
        <w:t xml:space="preserve">Where people come from to fish Duval County</w:t>
      </w:r>
    </w:p>
    <w:bookmarkStart w:id="22"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71"/>
        <w:gridCol w:w="625"/>
        <w:gridCol w:w="1980"/>
        <w:gridCol w:w="625"/>
        <w:gridCol w:w="2292"/>
        <w:gridCol w:w="62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Northeast</w:t>
            </w:r>
          </w:p>
        </w:tc>
        <w:tc>
          <w:tcPr/>
          <w:p>
            <w:pPr>
              <w:pStyle w:val="Compact"/>
              <w:jc w:val="right"/>
            </w:pPr>
            <w:r>
              <w:t xml:space="preserve">Prop.</w:t>
            </w:r>
          </w:p>
        </w:tc>
        <w:tc>
          <w:tcPr/>
          <w:p>
            <w:pPr>
              <w:pStyle w:val="Compact"/>
              <w:jc w:val="left"/>
            </w:pPr>
            <w:r>
              <w:t xml:space="preserve">Trips to Duval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0.366</w:t>
            </w:r>
          </w:p>
        </w:tc>
        <w:tc>
          <w:tcPr/>
          <w:p>
            <w:pPr>
              <w:pStyle w:val="Compact"/>
              <w:jc w:val="left"/>
            </w:pPr>
            <w:r>
              <w:t xml:space="preserve">Georgia</w:t>
            </w:r>
          </w:p>
        </w:tc>
        <w:tc>
          <w:tcPr/>
          <w:p>
            <w:pPr>
              <w:pStyle w:val="Compact"/>
              <w:jc w:val="right"/>
            </w:pPr>
            <w:r>
              <w:t xml:space="preserve">0.313</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North Carolina</w:t>
            </w:r>
          </w:p>
        </w:tc>
        <w:tc>
          <w:tcPr/>
          <w:p>
            <w:pPr>
              <w:pStyle w:val="Compact"/>
              <w:jc w:val="right"/>
            </w:pPr>
            <w:r>
              <w:t xml:space="preserve">0.074</w:t>
            </w:r>
          </w:p>
        </w:tc>
        <w:tc>
          <w:tcPr/>
          <w:p>
            <w:pPr>
              <w:pStyle w:val="Compact"/>
              <w:jc w:val="left"/>
            </w:pPr>
            <w:r>
              <w:t xml:space="preserve">North Carolina</w:t>
            </w:r>
          </w:p>
        </w:tc>
        <w:tc>
          <w:tcPr/>
          <w:p>
            <w:pPr>
              <w:pStyle w:val="Compact"/>
              <w:jc w:val="right"/>
            </w:pPr>
            <w:r>
              <w:t xml:space="preserve">0.080</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South Carolina</w:t>
            </w:r>
          </w:p>
        </w:tc>
        <w:tc>
          <w:tcPr/>
          <w:p>
            <w:pPr>
              <w:pStyle w:val="Compact"/>
              <w:jc w:val="right"/>
            </w:pPr>
            <w:r>
              <w:t xml:space="preserve">0.067</w:t>
            </w:r>
          </w:p>
        </w:tc>
        <w:tc>
          <w:tcPr/>
          <w:p>
            <w:pPr>
              <w:pStyle w:val="Compact"/>
              <w:jc w:val="left"/>
            </w:pPr>
            <w:r>
              <w:t xml:space="preserve">South Carolina</w:t>
            </w:r>
          </w:p>
        </w:tc>
        <w:tc>
          <w:tcPr/>
          <w:p>
            <w:pPr>
              <w:pStyle w:val="Compact"/>
              <w:jc w:val="right"/>
            </w:pPr>
            <w:r>
              <w:t xml:space="preserve">0.074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0.052</w:t>
            </w:r>
          </w:p>
        </w:tc>
        <w:tc>
          <w:tcPr/>
          <w:p>
            <w:pPr>
              <w:pStyle w:val="Compact"/>
              <w:jc w:val="left"/>
            </w:pPr>
            <w:r>
              <w:t xml:space="preserve">Tennessee</w:t>
            </w:r>
          </w:p>
        </w:tc>
        <w:tc>
          <w:tcPr/>
          <w:p>
            <w:pPr>
              <w:pStyle w:val="Compact"/>
              <w:jc w:val="right"/>
            </w:pPr>
            <w:r>
              <w:t xml:space="preserve">0.052</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Ohio</w:t>
            </w:r>
          </w:p>
        </w:tc>
        <w:tc>
          <w:tcPr/>
          <w:p>
            <w:pPr>
              <w:pStyle w:val="Compact"/>
              <w:jc w:val="right"/>
            </w:pPr>
            <w:r>
              <w:t xml:space="preserve">0.039</w:t>
            </w:r>
          </w:p>
        </w:tc>
        <w:tc>
          <w:tcPr/>
          <w:p>
            <w:pPr>
              <w:pStyle w:val="Compact"/>
              <w:jc w:val="left"/>
            </w:pPr>
            <w:r>
              <w:t xml:space="preserve">Texas</w:t>
            </w:r>
          </w:p>
        </w:tc>
        <w:tc>
          <w:tcPr/>
          <w:p>
            <w:pPr>
              <w:pStyle w:val="Compact"/>
              <w:jc w:val="right"/>
            </w:pPr>
            <w:r>
              <w:t xml:space="preserve">0.045</w:t>
            </w:r>
          </w:p>
        </w:tc>
      </w:tr>
    </w:tbl>
    <w:p>
      <w:pPr>
        <w:pStyle w:val="BodyText"/>
      </w:pPr>
      <w:r>
        <w:rPr>
          <w:b/>
          <w:bCs/>
        </w:rPr>
        <w:t xml:space="preserve">Table 1. The origins of out-of-state angler trips for Florida, the region, and specifically Duval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Duval County. Comparing the columns shows how Duval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2"/>
    <w:bookmarkStart w:id="23"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Clay</w:t>
            </w:r>
          </w:p>
        </w:tc>
        <w:tc>
          <w:tcPr/>
          <w:p>
            <w:pPr>
              <w:pStyle w:val="Compact"/>
              <w:jc w:val="right"/>
            </w:pPr>
            <w:r>
              <w:t xml:space="preserve">0.311</w:t>
            </w:r>
          </w:p>
        </w:tc>
        <w:tc>
          <w:tcPr/>
          <w:p>
            <w:pPr>
              <w:pStyle w:val="Compact"/>
              <w:jc w:val="left"/>
            </w:pPr>
            <w:r>
              <w:t xml:space="preserve">Duval</w:t>
            </w:r>
          </w:p>
        </w:tc>
        <w:tc>
          <w:tcPr/>
          <w:p>
            <w:pPr>
              <w:pStyle w:val="Compact"/>
              <w:jc w:val="right"/>
            </w:pPr>
            <w:r>
              <w:t xml:space="preserve">0.754</w:t>
            </w:r>
          </w:p>
        </w:tc>
      </w:tr>
      <w:tr>
        <w:tc>
          <w:tcPr/>
          <w:p>
            <w:pPr>
              <w:pStyle w:val="Compact"/>
              <w:jc w:val="left"/>
            </w:pPr>
            <w:r>
              <w:t xml:space="preserve">Nassau</w:t>
            </w:r>
          </w:p>
        </w:tc>
        <w:tc>
          <w:tcPr/>
          <w:p>
            <w:pPr>
              <w:pStyle w:val="Compact"/>
              <w:jc w:val="right"/>
            </w:pPr>
            <w:r>
              <w:t xml:space="preserve">0.231</w:t>
            </w:r>
          </w:p>
        </w:tc>
        <w:tc>
          <w:tcPr/>
          <w:p>
            <w:pPr>
              <w:pStyle w:val="Compact"/>
              <w:jc w:val="left"/>
            </w:pPr>
            <w:r>
              <w:t xml:space="preserve">Clay</w:t>
            </w:r>
          </w:p>
        </w:tc>
        <w:tc>
          <w:tcPr/>
          <w:p>
            <w:pPr>
              <w:pStyle w:val="Compact"/>
              <w:jc w:val="right"/>
            </w:pPr>
            <w:r>
              <w:t xml:space="preserve">0.077</w:t>
            </w:r>
          </w:p>
        </w:tc>
      </w:tr>
      <w:tr>
        <w:tc>
          <w:tcPr/>
          <w:p>
            <w:pPr>
              <w:pStyle w:val="Compact"/>
              <w:jc w:val="left"/>
            </w:pPr>
            <w:r>
              <w:t xml:space="preserve">St Johns</w:t>
            </w:r>
          </w:p>
        </w:tc>
        <w:tc>
          <w:tcPr/>
          <w:p>
            <w:pPr>
              <w:pStyle w:val="Compact"/>
              <w:jc w:val="right"/>
            </w:pPr>
            <w:r>
              <w:t xml:space="preserve">0.198</w:t>
            </w:r>
          </w:p>
        </w:tc>
        <w:tc>
          <w:tcPr/>
          <w:p>
            <w:pPr>
              <w:pStyle w:val="Compact"/>
              <w:jc w:val="left"/>
            </w:pPr>
            <w:r>
              <w:t xml:space="preserve">Nassau</w:t>
            </w:r>
          </w:p>
        </w:tc>
        <w:tc>
          <w:tcPr/>
          <w:p>
            <w:pPr>
              <w:pStyle w:val="Compact"/>
              <w:jc w:val="right"/>
            </w:pPr>
            <w:r>
              <w:t xml:space="preserve">0.057</w:t>
            </w:r>
          </w:p>
        </w:tc>
      </w:tr>
      <w:tr>
        <w:tc>
          <w:tcPr/>
          <w:p>
            <w:pPr>
              <w:pStyle w:val="Compact"/>
              <w:jc w:val="left"/>
            </w:pPr>
            <w:r>
              <w:t xml:space="preserve">Baker</w:t>
            </w:r>
          </w:p>
        </w:tc>
        <w:tc>
          <w:tcPr/>
          <w:p>
            <w:pPr>
              <w:pStyle w:val="Compact"/>
              <w:jc w:val="right"/>
            </w:pPr>
            <w:r>
              <w:t xml:space="preserve">0.068</w:t>
            </w:r>
          </w:p>
        </w:tc>
        <w:tc>
          <w:tcPr/>
          <w:p>
            <w:pPr>
              <w:pStyle w:val="Compact"/>
              <w:jc w:val="left"/>
            </w:pPr>
            <w:r>
              <w:t xml:space="preserve">St Johns</w:t>
            </w:r>
          </w:p>
        </w:tc>
        <w:tc>
          <w:tcPr/>
          <w:p>
            <w:pPr>
              <w:pStyle w:val="Compact"/>
              <w:jc w:val="right"/>
            </w:pPr>
            <w:r>
              <w:t xml:space="preserve">0.049</w:t>
            </w:r>
          </w:p>
        </w:tc>
      </w:tr>
      <w:tr>
        <w:tc>
          <w:tcPr/>
          <w:p>
            <w:pPr>
              <w:pStyle w:val="Compact"/>
              <w:jc w:val="left"/>
            </w:pPr>
            <w:r>
              <w:t xml:space="preserve">Alachua</w:t>
            </w:r>
          </w:p>
        </w:tc>
        <w:tc>
          <w:tcPr/>
          <w:p>
            <w:pPr>
              <w:pStyle w:val="Compact"/>
              <w:jc w:val="right"/>
            </w:pPr>
            <w:r>
              <w:t xml:space="preserve">0.015</w:t>
            </w:r>
          </w:p>
        </w:tc>
        <w:tc>
          <w:tcPr/>
          <w:p>
            <w:pPr>
              <w:pStyle w:val="Compact"/>
              <w:jc w:val="left"/>
            </w:pPr>
            <w:r>
              <w:t xml:space="preserve">Baker</w:t>
            </w:r>
          </w:p>
        </w:tc>
        <w:tc>
          <w:tcPr/>
          <w:p>
            <w:pPr>
              <w:pStyle w:val="Compact"/>
              <w:jc w:val="right"/>
            </w:pPr>
            <w:r>
              <w:t xml:space="preserve">0.017</w:t>
            </w:r>
          </w:p>
        </w:tc>
      </w:tr>
    </w:tbl>
    <w:p>
      <w:pPr>
        <w:pStyle w:val="BodyText"/>
      </w:pPr>
      <w:r>
        <w:rPr>
          <w:b/>
          <w:bCs/>
        </w:rPr>
        <w:t xml:space="preserve">Table 2. The origins of Florida resident anglers fishing in Duval County, for 2014-2024.</w:t>
      </w:r>
      <w:r>
        <w:br/>
      </w:r>
      <w:r>
        <w:t xml:space="preserve">This table shows where Florida resident anglers come from when they fish Duval County.</w:t>
      </w:r>
      <w:r>
        <w:t xml:space="preserve"> </w:t>
      </w:r>
      <w:r>
        <w:rPr>
          <w:b/>
          <w:bCs/>
        </w:rPr>
        <w:t xml:space="preserve">Columns 1 &amp; 2</w:t>
      </w:r>
      <w:r>
        <w:rPr>
          <w:b/>
          <w:bCs/>
        </w:rPr>
        <w:t xml:space="preserve"> </w:t>
      </w:r>
      <w:r>
        <w:t xml:space="preserve"> </w:t>
      </w:r>
      <w:r>
        <w:t xml:space="preserve">show origins of trips in Duval County by anglers who are</w:t>
      </w:r>
      <w:r>
        <w:t xml:space="preserve"> </w:t>
      </w:r>
      <w:r>
        <w:rPr>
          <w:b/>
          <w:bCs/>
        </w:rPr>
        <w:t xml:space="preserve">not</w:t>
      </w:r>
      <w:r>
        <w:t xml:space="preserve"> </w:t>
      </w:r>
      <w:r>
        <w:t xml:space="preserve">residents of Duval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Duval County. This information can be used to identifying in-state advertising.</w:t>
      </w:r>
    </w:p>
    <w:p>
      <w:pPr>
        <w:pStyle w:val="BodyText"/>
      </w:pPr>
    </w:p>
    <w:bookmarkEnd w:id="23"/>
    <w:bookmarkEnd w:id="24"/>
    <w:bookmarkStart w:id="26" w:name="what-people-fish-for-in-duval-county"/>
    <w:p>
      <w:pPr>
        <w:pStyle w:val="Heading3"/>
      </w:pPr>
      <w:r>
        <w:t xml:space="preserve">What people fish for in Duval County</w:t>
      </w:r>
    </w:p>
    <w:bookmarkStart w:id="25"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570"/>
        <w:gridCol w:w="409"/>
        <w:gridCol w:w="1570"/>
        <w:gridCol w:w="409"/>
        <w:gridCol w:w="1570"/>
        <w:gridCol w:w="409"/>
        <w:gridCol w:w="1570"/>
        <w:gridCol w:w="409"/>
      </w:tblGrid>
      <w:tr>
        <w:trPr>
          <w:tblHeader w:val="on"/>
        </w:trPr>
        <w:tc>
          <w:tcPr/>
          <w:p>
            <w:pPr>
              <w:pStyle w:val="Compact"/>
              <w:jc w:val="left"/>
            </w:pPr>
            <w:r>
              <w:t xml:space="preserve">All Duval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Red drum</w:t>
            </w:r>
          </w:p>
        </w:tc>
        <w:tc>
          <w:tcPr/>
          <w:p>
            <w:pPr>
              <w:pStyle w:val="Compact"/>
              <w:jc w:val="right"/>
            </w:pPr>
            <w:r>
              <w:t xml:space="preserve">0.330</w:t>
            </w:r>
          </w:p>
        </w:tc>
        <w:tc>
          <w:tcPr/>
          <w:p>
            <w:pPr>
              <w:pStyle w:val="Compact"/>
              <w:jc w:val="left"/>
            </w:pPr>
            <w:r>
              <w:t xml:space="preserve">No Target</w:t>
            </w:r>
          </w:p>
        </w:tc>
        <w:tc>
          <w:tcPr/>
          <w:p>
            <w:pPr>
              <w:pStyle w:val="Compact"/>
              <w:jc w:val="right"/>
            </w:pPr>
            <w:r>
              <w:t xml:space="preserve">0.322</w:t>
            </w:r>
          </w:p>
        </w:tc>
        <w:tc>
          <w:tcPr/>
          <w:p>
            <w:pPr>
              <w:pStyle w:val="Compact"/>
              <w:jc w:val="left"/>
            </w:pPr>
            <w:r>
              <w:t xml:space="preserve">Red drum</w:t>
            </w:r>
          </w:p>
        </w:tc>
        <w:tc>
          <w:tcPr/>
          <w:p>
            <w:pPr>
              <w:pStyle w:val="Compact"/>
              <w:jc w:val="right"/>
            </w:pPr>
            <w:r>
              <w:t xml:space="preserve">0.359</w:t>
            </w:r>
          </w:p>
        </w:tc>
        <w:tc>
          <w:tcPr/>
          <w:p>
            <w:pPr>
              <w:pStyle w:val="Compact"/>
              <w:jc w:val="left"/>
            </w:pPr>
            <w:r>
              <w:t xml:space="preserve">No Target</w:t>
            </w:r>
          </w:p>
        </w:tc>
        <w:tc>
          <w:tcPr/>
          <w:p>
            <w:pPr>
              <w:pStyle w:val="Compact"/>
              <w:jc w:val="right"/>
            </w:pPr>
            <w:r>
              <w:t xml:space="preserve">0.378</w:t>
            </w:r>
          </w:p>
        </w:tc>
      </w:tr>
      <w:tr>
        <w:tc>
          <w:tcPr/>
          <w:p>
            <w:pPr>
              <w:pStyle w:val="Compact"/>
              <w:jc w:val="left"/>
            </w:pPr>
            <w:r>
              <w:t xml:space="preserve">No Target</w:t>
            </w:r>
          </w:p>
        </w:tc>
        <w:tc>
          <w:tcPr/>
          <w:p>
            <w:pPr>
              <w:pStyle w:val="Compact"/>
              <w:jc w:val="right"/>
            </w:pPr>
            <w:r>
              <w:t xml:space="preserve">0.321</w:t>
            </w:r>
          </w:p>
        </w:tc>
        <w:tc>
          <w:tcPr/>
          <w:p>
            <w:pPr>
              <w:pStyle w:val="Compact"/>
              <w:jc w:val="left"/>
            </w:pPr>
            <w:r>
              <w:t xml:space="preserve">Red drum</w:t>
            </w:r>
          </w:p>
        </w:tc>
        <w:tc>
          <w:tcPr/>
          <w:p>
            <w:pPr>
              <w:pStyle w:val="Compact"/>
              <w:jc w:val="right"/>
            </w:pPr>
            <w:r>
              <w:t xml:space="preserve">0.317</w:t>
            </w:r>
          </w:p>
        </w:tc>
        <w:tc>
          <w:tcPr/>
          <w:p>
            <w:pPr>
              <w:pStyle w:val="Compact"/>
              <w:jc w:val="left"/>
            </w:pPr>
            <w:r>
              <w:t xml:space="preserve">No Target</w:t>
            </w:r>
          </w:p>
        </w:tc>
        <w:tc>
          <w:tcPr/>
          <w:p>
            <w:pPr>
              <w:pStyle w:val="Compact"/>
              <w:jc w:val="right"/>
            </w:pPr>
            <w:r>
              <w:t xml:space="preserve">0.319</w:t>
            </w:r>
          </w:p>
        </w:tc>
        <w:tc>
          <w:tcPr/>
          <w:p>
            <w:pPr>
              <w:pStyle w:val="Compact"/>
              <w:jc w:val="left"/>
            </w:pPr>
            <w:r>
              <w:t xml:space="preserve">Red drum</w:t>
            </w:r>
          </w:p>
        </w:tc>
        <w:tc>
          <w:tcPr/>
          <w:p>
            <w:pPr>
              <w:pStyle w:val="Compact"/>
              <w:jc w:val="right"/>
            </w:pPr>
            <w:r>
              <w:t xml:space="preserve">0.305</w:t>
            </w:r>
          </w:p>
        </w:tc>
      </w:tr>
      <w:tr>
        <w:tc>
          <w:tcPr/>
          <w:p>
            <w:pPr>
              <w:pStyle w:val="Compact"/>
              <w:jc w:val="left"/>
            </w:pPr>
            <w:r>
              <w:t xml:space="preserve">Sheepshead</w:t>
            </w:r>
          </w:p>
        </w:tc>
        <w:tc>
          <w:tcPr/>
          <w:p>
            <w:pPr>
              <w:pStyle w:val="Compact"/>
              <w:jc w:val="right"/>
            </w:pPr>
            <w:r>
              <w:t xml:space="preserve">0.074</w:t>
            </w:r>
          </w:p>
        </w:tc>
        <w:tc>
          <w:tcPr/>
          <w:p>
            <w:pPr>
              <w:pStyle w:val="Compact"/>
              <w:jc w:val="left"/>
            </w:pPr>
            <w:r>
              <w:t xml:space="preserve">Sheepshead</w:t>
            </w:r>
          </w:p>
        </w:tc>
        <w:tc>
          <w:tcPr/>
          <w:p>
            <w:pPr>
              <w:pStyle w:val="Compact"/>
              <w:jc w:val="right"/>
            </w:pPr>
            <w:r>
              <w:t xml:space="preserve">0.080</w:t>
            </w:r>
          </w:p>
        </w:tc>
        <w:tc>
          <w:tcPr/>
          <w:p>
            <w:pPr>
              <w:pStyle w:val="Compact"/>
              <w:jc w:val="left"/>
            </w:pPr>
            <w:r>
              <w:t xml:space="preserve">Spotted seatrout</w:t>
            </w:r>
          </w:p>
        </w:tc>
        <w:tc>
          <w:tcPr/>
          <w:p>
            <w:pPr>
              <w:pStyle w:val="Compact"/>
              <w:jc w:val="right"/>
            </w:pPr>
            <w:r>
              <w:t xml:space="preserve">0.068</w:t>
            </w:r>
          </w:p>
        </w:tc>
        <w:tc>
          <w:tcPr/>
          <w:p>
            <w:pPr>
              <w:pStyle w:val="Compact"/>
              <w:jc w:val="left"/>
            </w:pPr>
            <w:r>
              <w:t xml:space="preserve">Spotted seatrout</w:t>
            </w:r>
          </w:p>
        </w:tc>
        <w:tc>
          <w:tcPr/>
          <w:p>
            <w:pPr>
              <w:pStyle w:val="Compact"/>
              <w:jc w:val="right"/>
            </w:pPr>
            <w:r>
              <w:t xml:space="preserve">0.066</w:t>
            </w:r>
          </w:p>
        </w:tc>
      </w:tr>
      <w:tr>
        <w:tc>
          <w:tcPr/>
          <w:p>
            <w:pPr>
              <w:pStyle w:val="Compact"/>
              <w:jc w:val="left"/>
            </w:pPr>
            <w:r>
              <w:t xml:space="preserve">Spotted seatrout</w:t>
            </w:r>
          </w:p>
        </w:tc>
        <w:tc>
          <w:tcPr/>
          <w:p>
            <w:pPr>
              <w:pStyle w:val="Compact"/>
              <w:jc w:val="right"/>
            </w:pPr>
            <w:r>
              <w:t xml:space="preserve">0.064</w:t>
            </w:r>
          </w:p>
        </w:tc>
        <w:tc>
          <w:tcPr/>
          <w:p>
            <w:pPr>
              <w:pStyle w:val="Compact"/>
              <w:jc w:val="left"/>
            </w:pPr>
            <w:r>
              <w:t xml:space="preserve">Spotted seatrout</w:t>
            </w:r>
          </w:p>
        </w:tc>
        <w:tc>
          <w:tcPr/>
          <w:p>
            <w:pPr>
              <w:pStyle w:val="Compact"/>
              <w:jc w:val="right"/>
            </w:pPr>
            <w:r>
              <w:t xml:space="preserve">0.062</w:t>
            </w:r>
          </w:p>
        </w:tc>
        <w:tc>
          <w:tcPr/>
          <w:p>
            <w:pPr>
              <w:pStyle w:val="Compact"/>
              <w:jc w:val="left"/>
            </w:pPr>
            <w:r>
              <w:t xml:space="preserve">Sheepshead</w:t>
            </w:r>
          </w:p>
        </w:tc>
        <w:tc>
          <w:tcPr/>
          <w:p>
            <w:pPr>
              <w:pStyle w:val="Compact"/>
              <w:jc w:val="right"/>
            </w:pPr>
            <w:r>
              <w:t xml:space="preserve">0.059</w:t>
            </w:r>
          </w:p>
        </w:tc>
        <w:tc>
          <w:tcPr/>
          <w:p>
            <w:pPr>
              <w:pStyle w:val="Compact"/>
              <w:jc w:val="left"/>
            </w:pPr>
            <w:r>
              <w:t xml:space="preserve">King mackerel</w:t>
            </w:r>
          </w:p>
        </w:tc>
        <w:tc>
          <w:tcPr/>
          <w:p>
            <w:pPr>
              <w:pStyle w:val="Compact"/>
              <w:jc w:val="right"/>
            </w:pPr>
            <w:r>
              <w:t xml:space="preserve">0.064</w:t>
            </w:r>
          </w:p>
        </w:tc>
      </w:tr>
      <w:tr>
        <w:tc>
          <w:tcPr/>
          <w:p>
            <w:pPr>
              <w:pStyle w:val="Compact"/>
              <w:jc w:val="left"/>
            </w:pPr>
            <w:r>
              <w:t xml:space="preserve">Lefteye flounder genus</w:t>
            </w:r>
          </w:p>
        </w:tc>
        <w:tc>
          <w:tcPr/>
          <w:p>
            <w:pPr>
              <w:pStyle w:val="Compact"/>
              <w:jc w:val="right"/>
            </w:pPr>
            <w:r>
              <w:t xml:space="preserve">0.056</w:t>
            </w:r>
          </w:p>
        </w:tc>
        <w:tc>
          <w:tcPr/>
          <w:p>
            <w:pPr>
              <w:pStyle w:val="Compact"/>
              <w:jc w:val="left"/>
            </w:pPr>
            <w:r>
              <w:t xml:space="preserve">Lefteye flounder genus</w:t>
            </w:r>
          </w:p>
        </w:tc>
        <w:tc>
          <w:tcPr/>
          <w:p>
            <w:pPr>
              <w:pStyle w:val="Compact"/>
              <w:jc w:val="right"/>
            </w:pPr>
            <w:r>
              <w:t xml:space="preserve">0.058</w:t>
            </w:r>
          </w:p>
        </w:tc>
        <w:tc>
          <w:tcPr/>
          <w:p>
            <w:pPr>
              <w:pStyle w:val="Compact"/>
              <w:jc w:val="left"/>
            </w:pPr>
            <w:r>
              <w:t xml:space="preserve">Lefteye flounder genus</w:t>
            </w:r>
          </w:p>
        </w:tc>
        <w:tc>
          <w:tcPr/>
          <w:p>
            <w:pPr>
              <w:pStyle w:val="Compact"/>
              <w:jc w:val="right"/>
            </w:pPr>
            <w:r>
              <w:t xml:space="preserve">0.051</w:t>
            </w:r>
          </w:p>
        </w:tc>
        <w:tc>
          <w:tcPr/>
          <w:p>
            <w:pPr>
              <w:pStyle w:val="Compact"/>
              <w:jc w:val="left"/>
            </w:pPr>
            <w:r>
              <w:t xml:space="preserve">Lefteye flounder genus</w:t>
            </w:r>
          </w:p>
        </w:tc>
        <w:tc>
          <w:tcPr/>
          <w:p>
            <w:pPr>
              <w:pStyle w:val="Compact"/>
              <w:jc w:val="right"/>
            </w:pPr>
            <w:r>
              <w:t xml:space="preserve">0.042</w:t>
            </w:r>
          </w:p>
        </w:tc>
      </w:tr>
    </w:tbl>
    <w:p>
      <w:pPr>
        <w:pStyle w:val="BodyText"/>
      </w:pPr>
      <w:r>
        <w:rPr>
          <w:b/>
          <w:bCs/>
        </w:rPr>
        <w:t xml:space="preserve">Table 3. Proportions of species targeted by fishing trips made in Duval County by anglers from various origins, for 2014-2024.</w:t>
      </w:r>
      <w:r>
        <w:br/>
      </w:r>
      <w:r>
        <w:t xml:space="preserve">This table shows the top 5 species anglers fish in Duval County, depending on where they live.</w:t>
      </w:r>
      <w:r>
        <w:t xml:space="preserve"> </w:t>
      </w:r>
      <w:r>
        <w:rPr>
          <w:b/>
          <w:bCs/>
        </w:rPr>
        <w:t xml:space="preserve">Columns 1-2</w:t>
      </w:r>
      <w:r>
        <w:t xml:space="preserve"> </w:t>
      </w:r>
      <w:r>
        <w:t xml:space="preserve">shows what anglers fish for in Duval County regardless of where they come from.</w:t>
      </w:r>
      <w:r>
        <w:t xml:space="preserve"> </w:t>
      </w:r>
      <w:r>
        <w:rPr>
          <w:b/>
          <w:bCs/>
        </w:rPr>
        <w:t xml:space="preserve">Columns 3-4</w:t>
      </w:r>
      <w:r>
        <w:t xml:space="preserve"> </w:t>
      </w:r>
      <w:r>
        <w:t xml:space="preserve">shows what Duval County resident anglers fish for,</w:t>
      </w:r>
      <w:r>
        <w:t xml:space="preserve"> </w:t>
      </w:r>
      <w:r>
        <w:rPr>
          <w:b/>
          <w:bCs/>
        </w:rPr>
        <w:t xml:space="preserve">Columns 5-6</w:t>
      </w:r>
      <w:r>
        <w:t xml:space="preserve"> </w:t>
      </w:r>
      <w:r>
        <w:t xml:space="preserve">shows what anglers who live in Florida but not Duval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82BB7E-D483-4375-AD5E-06A0A407CCAF}"/>
</file>

<file path=customXml/itemProps2.xml><?xml version="1.0" encoding="utf-8"?>
<ds:datastoreItem xmlns:ds="http://schemas.openxmlformats.org/officeDocument/2006/customXml" ds:itemID="{B5606B33-8A0B-4501-A776-9ABB56553008}"/>
</file>

<file path=customXml/itemProps3.xml><?xml version="1.0" encoding="utf-8"?>
<ds:datastoreItem xmlns:ds="http://schemas.openxmlformats.org/officeDocument/2006/customXml" ds:itemID="{31D788B8-48E4-4C64-8659-7B22B3E4C32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Duval County</dc:title>
  <dc:creator>Prepared for Duval County by Ed Camp (edvcamp@ufl.edu) Assistant Professor University of Florida</dc:creator>
  <cp:keywords/>
  <dcterms:created xsi:type="dcterms:W3CDTF">2025-03-13T18:47:25Z</dcterms:created>
  <dcterms:modified xsi:type="dcterms:W3CDTF">2025-03-13T18:47:25Z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