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Escambia County</w:t>
      </w:r>
    </w:p>
    <w:p>
      <w:pPr>
        <w:pStyle w:val="Author"/>
      </w:pPr>
      <w:r>
        <w:t xml:space="preserve">Prepared for Escambia County by Ed Camp (</w:t>
      </w:r>
      <w:hyperlink r:id="rId20">
        <w:r>
          <w:rPr>
            <w:rStyle w:val="Hyperlink"/>
          </w:rPr>
          <w:t xml:space="preserve">edvcamp@ufl.edu</w:t>
        </w:r>
      </w:hyperlink>
      <w:r>
        <w:t xml:space="preserve">) Assistant Professor University of Florida, and Rick O’Connor, Florida Sea Grant Extension Agent Escambia County,</w:t>
      </w:r>
      <w:r>
        <w:t xml:space="preserve"> </w:t>
      </w:r>
      <w:hyperlink r:id="rId21">
        <w:r>
          <w:rPr>
            <w:rStyle w:val="Hyperlink"/>
          </w:rPr>
          <w:t xml:space="preserve">roc1@ufl.edu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Escambia County</w:t>
      </w:r>
      <w:r>
        <w:t xml:space="preserve">. The report describes information about where people come from when they fish Escambia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Escambia County</w:t>
      </w:r>
      <w:r>
        <w:t xml:space="preserve">, which Rick O’Connor can provide you.</w:t>
      </w:r>
    </w:p>
    <w:p>
      <w:pPr>
        <w:pStyle w:val="BodyText"/>
      </w:pPr>
    </w:p>
    <w:bookmarkEnd w:id="22"/>
    <w:bookmarkStart w:id="25" w:name="Xd9b43c79b2b52636f498475a83c09e8ce5eee71"/>
    <w:p>
      <w:pPr>
        <w:pStyle w:val="Heading3"/>
      </w:pPr>
      <w:r>
        <w:t xml:space="preserve">Where people come from to fish Escambia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641"/>
        <w:gridCol w:w="579"/>
        <w:gridCol w:w="2124"/>
        <w:gridCol w:w="579"/>
        <w:gridCol w:w="2414"/>
        <w:gridCol w:w="579"/>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NW Panhandle</w:t>
            </w:r>
          </w:p>
        </w:tc>
        <w:tc>
          <w:tcPr/>
          <w:p>
            <w:pPr>
              <w:pStyle w:val="Compact"/>
              <w:jc w:val="right"/>
            </w:pPr>
            <w:r>
              <w:t xml:space="preserve">Prop.</w:t>
            </w:r>
          </w:p>
        </w:tc>
        <w:tc>
          <w:tcPr/>
          <w:p>
            <w:pPr>
              <w:pStyle w:val="Compact"/>
              <w:jc w:val="left"/>
            </w:pPr>
            <w:r>
              <w:t xml:space="preserve">Trips to Escambia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Alabama</w:t>
            </w:r>
          </w:p>
        </w:tc>
        <w:tc>
          <w:tcPr/>
          <w:p>
            <w:pPr>
              <w:pStyle w:val="Compact"/>
              <w:jc w:val="right"/>
            </w:pPr>
            <w:r>
              <w:t xml:space="preserve">0.168</w:t>
            </w:r>
          </w:p>
        </w:tc>
        <w:tc>
          <w:tcPr/>
          <w:p>
            <w:pPr>
              <w:pStyle w:val="Compact"/>
              <w:jc w:val="left"/>
            </w:pPr>
            <w:r>
              <w:t xml:space="preserve">Alabama</w:t>
            </w:r>
          </w:p>
        </w:tc>
        <w:tc>
          <w:tcPr/>
          <w:p>
            <w:pPr>
              <w:pStyle w:val="Compact"/>
              <w:jc w:val="right"/>
            </w:pPr>
            <w:r>
              <w:t xml:space="preserve">0.273</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Georgia</w:t>
            </w:r>
          </w:p>
        </w:tc>
        <w:tc>
          <w:tcPr/>
          <w:p>
            <w:pPr>
              <w:pStyle w:val="Compact"/>
              <w:jc w:val="right"/>
            </w:pPr>
            <w:r>
              <w:t xml:space="preserve">0.135</w:t>
            </w:r>
          </w:p>
        </w:tc>
        <w:tc>
          <w:tcPr/>
          <w:p>
            <w:pPr>
              <w:pStyle w:val="Compact"/>
              <w:jc w:val="left"/>
            </w:pPr>
            <w:r>
              <w:t xml:space="preserve">Georgia</w:t>
            </w:r>
          </w:p>
        </w:tc>
        <w:tc>
          <w:tcPr/>
          <w:p>
            <w:pPr>
              <w:pStyle w:val="Compact"/>
              <w:jc w:val="right"/>
            </w:pPr>
            <w:r>
              <w:t xml:space="preserve">0.119</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Texas</w:t>
            </w:r>
          </w:p>
        </w:tc>
        <w:tc>
          <w:tcPr/>
          <w:p>
            <w:pPr>
              <w:pStyle w:val="Compact"/>
              <w:jc w:val="right"/>
            </w:pPr>
            <w:r>
              <w:t xml:space="preserve">0.113</w:t>
            </w:r>
          </w:p>
        </w:tc>
        <w:tc>
          <w:tcPr/>
          <w:p>
            <w:pPr>
              <w:pStyle w:val="Compact"/>
              <w:jc w:val="left"/>
            </w:pPr>
            <w:r>
              <w:t xml:space="preserve">Texas</w:t>
            </w:r>
          </w:p>
        </w:tc>
        <w:tc>
          <w:tcPr/>
          <w:p>
            <w:pPr>
              <w:pStyle w:val="Compact"/>
              <w:jc w:val="right"/>
            </w:pPr>
            <w:r>
              <w:t xml:space="preserve">0.072</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Tennessee</w:t>
            </w:r>
          </w:p>
        </w:tc>
        <w:tc>
          <w:tcPr/>
          <w:p>
            <w:pPr>
              <w:pStyle w:val="Compact"/>
              <w:jc w:val="right"/>
            </w:pPr>
            <w:r>
              <w:t xml:space="preserve">0.104</w:t>
            </w:r>
          </w:p>
        </w:tc>
        <w:tc>
          <w:tcPr/>
          <w:p>
            <w:pPr>
              <w:pStyle w:val="Compact"/>
              <w:jc w:val="left"/>
            </w:pPr>
            <w:r>
              <w:t xml:space="preserve">Mississippi</w:t>
            </w:r>
          </w:p>
        </w:tc>
        <w:tc>
          <w:tcPr/>
          <w:p>
            <w:pPr>
              <w:pStyle w:val="Compact"/>
              <w:jc w:val="right"/>
            </w:pPr>
            <w:r>
              <w:t xml:space="preserve">0.070</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Louisiana</w:t>
            </w:r>
          </w:p>
        </w:tc>
        <w:tc>
          <w:tcPr/>
          <w:p>
            <w:pPr>
              <w:pStyle w:val="Compact"/>
              <w:jc w:val="right"/>
            </w:pPr>
            <w:r>
              <w:t xml:space="preserve">0.045</w:t>
            </w:r>
          </w:p>
        </w:tc>
        <w:tc>
          <w:tcPr/>
          <w:p>
            <w:pPr>
              <w:pStyle w:val="Compact"/>
              <w:jc w:val="left"/>
            </w:pPr>
            <w:r>
              <w:t xml:space="preserve">Louisiana</w:t>
            </w:r>
          </w:p>
        </w:tc>
        <w:tc>
          <w:tcPr/>
          <w:p>
            <w:pPr>
              <w:pStyle w:val="Compact"/>
              <w:jc w:val="right"/>
            </w:pPr>
            <w:r>
              <w:t xml:space="preserve">0.059</w:t>
            </w:r>
          </w:p>
        </w:tc>
      </w:tr>
    </w:tbl>
    <w:p>
      <w:pPr>
        <w:pStyle w:val="BodyText"/>
      </w:pPr>
      <w:r>
        <w:rPr>
          <w:b/>
          <w:bCs/>
        </w:rPr>
        <w:t xml:space="preserve">Table 1. The origins of out-of-state angler trips for Florida, the region, and specifically Escambia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Escambia County. Comparing the columns shows how Escambia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Santa Rosa</w:t>
            </w:r>
          </w:p>
        </w:tc>
        <w:tc>
          <w:tcPr/>
          <w:p>
            <w:pPr>
              <w:pStyle w:val="Compact"/>
              <w:jc w:val="right"/>
            </w:pPr>
            <w:r>
              <w:t xml:space="preserve">0.836</w:t>
            </w:r>
          </w:p>
        </w:tc>
        <w:tc>
          <w:tcPr/>
          <w:p>
            <w:pPr>
              <w:pStyle w:val="Compact"/>
              <w:jc w:val="left"/>
            </w:pPr>
            <w:r>
              <w:t xml:space="preserve">Escambia</w:t>
            </w:r>
          </w:p>
        </w:tc>
        <w:tc>
          <w:tcPr/>
          <w:p>
            <w:pPr>
              <w:pStyle w:val="Compact"/>
              <w:jc w:val="right"/>
            </w:pPr>
            <w:r>
              <w:t xml:space="preserve">0.720</w:t>
            </w:r>
          </w:p>
        </w:tc>
      </w:tr>
      <w:tr>
        <w:tc>
          <w:tcPr/>
          <w:p>
            <w:pPr>
              <w:pStyle w:val="Compact"/>
              <w:jc w:val="left"/>
            </w:pPr>
            <w:r>
              <w:t xml:space="preserve">Okaloosa</w:t>
            </w:r>
          </w:p>
        </w:tc>
        <w:tc>
          <w:tcPr/>
          <w:p>
            <w:pPr>
              <w:pStyle w:val="Compact"/>
              <w:jc w:val="right"/>
            </w:pPr>
            <w:r>
              <w:t xml:space="preserve">0.051</w:t>
            </w:r>
          </w:p>
        </w:tc>
        <w:tc>
          <w:tcPr/>
          <w:p>
            <w:pPr>
              <w:pStyle w:val="Compact"/>
              <w:jc w:val="left"/>
            </w:pPr>
            <w:r>
              <w:t xml:space="preserve">Santa Rosa</w:t>
            </w:r>
          </w:p>
        </w:tc>
        <w:tc>
          <w:tcPr/>
          <w:p>
            <w:pPr>
              <w:pStyle w:val="Compact"/>
              <w:jc w:val="right"/>
            </w:pPr>
            <w:r>
              <w:t xml:space="preserve">0.234</w:t>
            </w:r>
          </w:p>
        </w:tc>
      </w:tr>
      <w:tr>
        <w:tc>
          <w:tcPr/>
          <w:p>
            <w:pPr>
              <w:pStyle w:val="Compact"/>
              <w:jc w:val="left"/>
            </w:pPr>
            <w:r>
              <w:t xml:space="preserve">Bay</w:t>
            </w:r>
          </w:p>
        </w:tc>
        <w:tc>
          <w:tcPr/>
          <w:p>
            <w:pPr>
              <w:pStyle w:val="Compact"/>
              <w:jc w:val="right"/>
            </w:pPr>
            <w:r>
              <w:t xml:space="preserve">0.009</w:t>
            </w:r>
          </w:p>
        </w:tc>
        <w:tc>
          <w:tcPr/>
          <w:p>
            <w:pPr>
              <w:pStyle w:val="Compact"/>
              <w:jc w:val="left"/>
            </w:pPr>
            <w:r>
              <w:t xml:space="preserve">Okaloosa</w:t>
            </w:r>
          </w:p>
        </w:tc>
        <w:tc>
          <w:tcPr/>
          <w:p>
            <w:pPr>
              <w:pStyle w:val="Compact"/>
              <w:jc w:val="right"/>
            </w:pPr>
            <w:r>
              <w:t xml:space="preserve">0.014</w:t>
            </w:r>
          </w:p>
        </w:tc>
      </w:tr>
      <w:tr>
        <w:tc>
          <w:tcPr/>
          <w:p>
            <w:pPr>
              <w:pStyle w:val="Compact"/>
              <w:jc w:val="left"/>
            </w:pPr>
            <w:r>
              <w:t xml:space="preserve">Leon</w:t>
            </w:r>
          </w:p>
        </w:tc>
        <w:tc>
          <w:tcPr/>
          <w:p>
            <w:pPr>
              <w:pStyle w:val="Compact"/>
              <w:jc w:val="right"/>
            </w:pPr>
            <w:r>
              <w:t xml:space="preserve">0.009</w:t>
            </w:r>
          </w:p>
        </w:tc>
        <w:tc>
          <w:tcPr/>
          <w:p>
            <w:pPr>
              <w:pStyle w:val="Compact"/>
              <w:jc w:val="left"/>
            </w:pPr>
            <w:r>
              <w:t xml:space="preserve">Bay</w:t>
            </w:r>
          </w:p>
        </w:tc>
        <w:tc>
          <w:tcPr/>
          <w:p>
            <w:pPr>
              <w:pStyle w:val="Compact"/>
              <w:jc w:val="right"/>
            </w:pPr>
            <w:r>
              <w:t xml:space="preserve">0.003</w:t>
            </w:r>
          </w:p>
        </w:tc>
      </w:tr>
      <w:tr>
        <w:tc>
          <w:tcPr/>
          <w:p>
            <w:pPr>
              <w:pStyle w:val="Compact"/>
              <w:jc w:val="left"/>
            </w:pPr>
            <w:r>
              <w:t xml:space="preserve">Seminole</w:t>
            </w:r>
          </w:p>
        </w:tc>
        <w:tc>
          <w:tcPr/>
          <w:p>
            <w:pPr>
              <w:pStyle w:val="Compact"/>
              <w:jc w:val="right"/>
            </w:pPr>
            <w:r>
              <w:t xml:space="preserve">0.008</w:t>
            </w:r>
          </w:p>
        </w:tc>
        <w:tc>
          <w:tcPr/>
          <w:p>
            <w:pPr>
              <w:pStyle w:val="Compact"/>
              <w:jc w:val="left"/>
            </w:pPr>
            <w:r>
              <w:t xml:space="preserve">Alachua</w:t>
            </w:r>
          </w:p>
        </w:tc>
        <w:tc>
          <w:tcPr/>
          <w:p>
            <w:pPr>
              <w:pStyle w:val="Compact"/>
              <w:jc w:val="right"/>
            </w:pPr>
            <w:r>
              <w:t xml:space="preserve">0.002</w:t>
            </w:r>
          </w:p>
        </w:tc>
      </w:tr>
    </w:tbl>
    <w:p>
      <w:pPr>
        <w:pStyle w:val="BodyText"/>
      </w:pPr>
      <w:r>
        <w:rPr>
          <w:b/>
          <w:bCs/>
        </w:rPr>
        <w:t xml:space="preserve">Table 2. The origins of Florida resident anglers fishing in Escambia County, for 2014-2024.</w:t>
      </w:r>
      <w:r>
        <w:br/>
      </w:r>
      <w:r>
        <w:t xml:space="preserve">This table shows where Florida resident anglers come from when they fish Escambia County.</w:t>
      </w:r>
      <w:r>
        <w:t xml:space="preserve"> </w:t>
      </w:r>
      <w:r>
        <w:rPr>
          <w:b/>
          <w:bCs/>
        </w:rPr>
        <w:t xml:space="preserve">Columns 1 &amp; 2</w:t>
      </w:r>
      <w:r>
        <w:rPr>
          <w:b/>
          <w:bCs/>
        </w:rPr>
        <w:t xml:space="preserve"> </w:t>
      </w:r>
      <w:r>
        <w:t xml:space="preserve"> </w:t>
      </w:r>
      <w:r>
        <w:t xml:space="preserve">show origins of trips in Escambia County by anglers who are</w:t>
      </w:r>
      <w:r>
        <w:t xml:space="preserve"> </w:t>
      </w:r>
      <w:r>
        <w:rPr>
          <w:b/>
          <w:bCs/>
        </w:rPr>
        <w:t xml:space="preserve">not</w:t>
      </w:r>
      <w:r>
        <w:t xml:space="preserve"> </w:t>
      </w:r>
      <w:r>
        <w:t xml:space="preserve">residents of Escambia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Escambia County. This information can be used to identifying in-state advertising.</w:t>
      </w:r>
    </w:p>
    <w:p>
      <w:pPr>
        <w:pStyle w:val="BodyText"/>
      </w:pPr>
    </w:p>
    <w:bookmarkEnd w:id="24"/>
    <w:bookmarkEnd w:id="25"/>
    <w:bookmarkStart w:id="27" w:name="what-people-fish-for-in-escambia-county"/>
    <w:p>
      <w:pPr>
        <w:pStyle w:val="Heading3"/>
      </w:pPr>
      <w:r>
        <w:t xml:space="preserve">What people fish for in Escambia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961"/>
        <w:gridCol w:w="452"/>
        <w:gridCol w:w="1206"/>
        <w:gridCol w:w="452"/>
        <w:gridCol w:w="1508"/>
        <w:gridCol w:w="452"/>
        <w:gridCol w:w="1433"/>
        <w:gridCol w:w="452"/>
      </w:tblGrid>
      <w:tr>
        <w:trPr>
          <w:tblHeader w:val="on"/>
        </w:trPr>
        <w:tc>
          <w:tcPr/>
          <w:p>
            <w:pPr>
              <w:pStyle w:val="Compact"/>
              <w:jc w:val="left"/>
            </w:pPr>
            <w:r>
              <w:t xml:space="preserve">All Escambia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0.470</w:t>
            </w:r>
          </w:p>
        </w:tc>
        <w:tc>
          <w:tcPr/>
          <w:p>
            <w:pPr>
              <w:pStyle w:val="Compact"/>
              <w:jc w:val="left"/>
            </w:pPr>
            <w:r>
              <w:t xml:space="preserve">No Target</w:t>
            </w:r>
          </w:p>
        </w:tc>
        <w:tc>
          <w:tcPr/>
          <w:p>
            <w:pPr>
              <w:pStyle w:val="Compact"/>
              <w:jc w:val="right"/>
            </w:pPr>
            <w:r>
              <w:t xml:space="preserve">0.446</w:t>
            </w:r>
          </w:p>
        </w:tc>
        <w:tc>
          <w:tcPr/>
          <w:p>
            <w:pPr>
              <w:pStyle w:val="Compact"/>
              <w:jc w:val="left"/>
            </w:pPr>
            <w:r>
              <w:t xml:space="preserve">No Target</w:t>
            </w:r>
          </w:p>
        </w:tc>
        <w:tc>
          <w:tcPr/>
          <w:p>
            <w:pPr>
              <w:pStyle w:val="Compact"/>
              <w:jc w:val="right"/>
            </w:pPr>
            <w:r>
              <w:t xml:space="preserve">0.495</w:t>
            </w:r>
          </w:p>
        </w:tc>
        <w:tc>
          <w:tcPr/>
          <w:p>
            <w:pPr>
              <w:pStyle w:val="Compact"/>
              <w:jc w:val="left"/>
            </w:pPr>
            <w:r>
              <w:t xml:space="preserve">No Target</w:t>
            </w:r>
          </w:p>
        </w:tc>
        <w:tc>
          <w:tcPr/>
          <w:p>
            <w:pPr>
              <w:pStyle w:val="Compact"/>
              <w:jc w:val="right"/>
            </w:pPr>
            <w:r>
              <w:t xml:space="preserve">0.554</w:t>
            </w:r>
          </w:p>
        </w:tc>
      </w:tr>
      <w:tr>
        <w:tc>
          <w:tcPr/>
          <w:p>
            <w:pPr>
              <w:pStyle w:val="Compact"/>
              <w:jc w:val="left"/>
            </w:pPr>
            <w:r>
              <w:t xml:space="preserve">Red snapper</w:t>
            </w:r>
          </w:p>
        </w:tc>
        <w:tc>
          <w:tcPr/>
          <w:p>
            <w:pPr>
              <w:pStyle w:val="Compact"/>
              <w:jc w:val="right"/>
            </w:pPr>
            <w:r>
              <w:t xml:space="preserve">0.115</w:t>
            </w:r>
          </w:p>
        </w:tc>
        <w:tc>
          <w:tcPr/>
          <w:p>
            <w:pPr>
              <w:pStyle w:val="Compact"/>
              <w:jc w:val="left"/>
            </w:pPr>
            <w:r>
              <w:t xml:space="preserve">Red snapper</w:t>
            </w:r>
          </w:p>
        </w:tc>
        <w:tc>
          <w:tcPr/>
          <w:p>
            <w:pPr>
              <w:pStyle w:val="Compact"/>
              <w:jc w:val="right"/>
            </w:pPr>
            <w:r>
              <w:t xml:space="preserve">0.098</w:t>
            </w:r>
          </w:p>
        </w:tc>
        <w:tc>
          <w:tcPr/>
          <w:p>
            <w:pPr>
              <w:pStyle w:val="Compact"/>
              <w:jc w:val="left"/>
            </w:pPr>
            <w:r>
              <w:t xml:space="preserve">Red snapper</w:t>
            </w:r>
          </w:p>
        </w:tc>
        <w:tc>
          <w:tcPr/>
          <w:p>
            <w:pPr>
              <w:pStyle w:val="Compact"/>
              <w:jc w:val="right"/>
            </w:pPr>
            <w:r>
              <w:t xml:space="preserve">0.132</w:t>
            </w:r>
          </w:p>
        </w:tc>
        <w:tc>
          <w:tcPr/>
          <w:p>
            <w:pPr>
              <w:pStyle w:val="Compact"/>
              <w:jc w:val="left"/>
            </w:pPr>
            <w:r>
              <w:t xml:space="preserve">Red snapper</w:t>
            </w:r>
          </w:p>
        </w:tc>
        <w:tc>
          <w:tcPr/>
          <w:p>
            <w:pPr>
              <w:pStyle w:val="Compact"/>
              <w:jc w:val="right"/>
            </w:pPr>
            <w:r>
              <w:t xml:space="preserve">0.119</w:t>
            </w:r>
          </w:p>
        </w:tc>
      </w:tr>
      <w:tr>
        <w:tc>
          <w:tcPr/>
          <w:p>
            <w:pPr>
              <w:pStyle w:val="Compact"/>
              <w:jc w:val="left"/>
            </w:pPr>
            <w:r>
              <w:t xml:space="preserve">Red drum</w:t>
            </w:r>
          </w:p>
        </w:tc>
        <w:tc>
          <w:tcPr/>
          <w:p>
            <w:pPr>
              <w:pStyle w:val="Compact"/>
              <w:jc w:val="right"/>
            </w:pPr>
            <w:r>
              <w:t xml:space="preserve">0.086</w:t>
            </w:r>
          </w:p>
        </w:tc>
        <w:tc>
          <w:tcPr/>
          <w:p>
            <w:pPr>
              <w:pStyle w:val="Compact"/>
              <w:jc w:val="left"/>
            </w:pPr>
            <w:r>
              <w:t xml:space="preserve">Red drum</w:t>
            </w:r>
          </w:p>
        </w:tc>
        <w:tc>
          <w:tcPr/>
          <w:p>
            <w:pPr>
              <w:pStyle w:val="Compact"/>
              <w:jc w:val="right"/>
            </w:pPr>
            <w:r>
              <w:t xml:space="preserve">0.090</w:t>
            </w:r>
          </w:p>
        </w:tc>
        <w:tc>
          <w:tcPr/>
          <w:p>
            <w:pPr>
              <w:pStyle w:val="Compact"/>
              <w:jc w:val="left"/>
            </w:pPr>
            <w:r>
              <w:t xml:space="preserve">Red drum</w:t>
            </w:r>
          </w:p>
        </w:tc>
        <w:tc>
          <w:tcPr/>
          <w:p>
            <w:pPr>
              <w:pStyle w:val="Compact"/>
              <w:jc w:val="right"/>
            </w:pPr>
            <w:r>
              <w:t xml:space="preserve">0.082</w:t>
            </w:r>
          </w:p>
        </w:tc>
        <w:tc>
          <w:tcPr/>
          <w:p>
            <w:pPr>
              <w:pStyle w:val="Compact"/>
              <w:jc w:val="left"/>
            </w:pPr>
            <w:r>
              <w:t xml:space="preserve">Red drum</w:t>
            </w:r>
          </w:p>
        </w:tc>
        <w:tc>
          <w:tcPr/>
          <w:p>
            <w:pPr>
              <w:pStyle w:val="Compact"/>
              <w:jc w:val="right"/>
            </w:pPr>
            <w:r>
              <w:t xml:space="preserve">0.077</w:t>
            </w:r>
          </w:p>
        </w:tc>
      </w:tr>
      <w:tr>
        <w:tc>
          <w:tcPr/>
          <w:p>
            <w:pPr>
              <w:pStyle w:val="Compact"/>
              <w:jc w:val="left"/>
            </w:pPr>
            <w:r>
              <w:t xml:space="preserve">Sheepshead</w:t>
            </w:r>
          </w:p>
        </w:tc>
        <w:tc>
          <w:tcPr/>
          <w:p>
            <w:pPr>
              <w:pStyle w:val="Compact"/>
              <w:jc w:val="right"/>
            </w:pPr>
            <w:r>
              <w:t xml:space="preserve">0.042</w:t>
            </w:r>
          </w:p>
        </w:tc>
        <w:tc>
          <w:tcPr/>
          <w:p>
            <w:pPr>
              <w:pStyle w:val="Compact"/>
              <w:jc w:val="left"/>
            </w:pPr>
            <w:r>
              <w:t xml:space="preserve">Florida pompano</w:t>
            </w:r>
          </w:p>
        </w:tc>
        <w:tc>
          <w:tcPr/>
          <w:p>
            <w:pPr>
              <w:pStyle w:val="Compact"/>
              <w:jc w:val="right"/>
            </w:pPr>
            <w:r>
              <w:t xml:space="preserve">0.049</w:t>
            </w:r>
          </w:p>
        </w:tc>
        <w:tc>
          <w:tcPr/>
          <w:p>
            <w:pPr>
              <w:pStyle w:val="Compact"/>
              <w:jc w:val="left"/>
            </w:pPr>
            <w:r>
              <w:t xml:space="preserve">Sheepshead</w:t>
            </w:r>
          </w:p>
        </w:tc>
        <w:tc>
          <w:tcPr/>
          <w:p>
            <w:pPr>
              <w:pStyle w:val="Compact"/>
              <w:jc w:val="right"/>
            </w:pPr>
            <w:r>
              <w:t xml:space="preserve">0.041</w:t>
            </w:r>
          </w:p>
        </w:tc>
        <w:tc>
          <w:tcPr/>
          <w:p>
            <w:pPr>
              <w:pStyle w:val="Compact"/>
              <w:jc w:val="left"/>
            </w:pPr>
            <w:r>
              <w:t xml:space="preserve">Vermilion snapper</w:t>
            </w:r>
          </w:p>
        </w:tc>
        <w:tc>
          <w:tcPr/>
          <w:p>
            <w:pPr>
              <w:pStyle w:val="Compact"/>
              <w:jc w:val="right"/>
            </w:pPr>
            <w:r>
              <w:t xml:space="preserve">0.034</w:t>
            </w:r>
          </w:p>
        </w:tc>
      </w:tr>
      <w:tr>
        <w:tc>
          <w:tcPr/>
          <w:p>
            <w:pPr>
              <w:pStyle w:val="Compact"/>
              <w:jc w:val="left"/>
            </w:pPr>
            <w:r>
              <w:t xml:space="preserve">Spanish mackerel</w:t>
            </w:r>
          </w:p>
        </w:tc>
        <w:tc>
          <w:tcPr/>
          <w:p>
            <w:pPr>
              <w:pStyle w:val="Compact"/>
              <w:jc w:val="right"/>
            </w:pPr>
            <w:r>
              <w:t xml:space="preserve">0.041</w:t>
            </w:r>
          </w:p>
        </w:tc>
        <w:tc>
          <w:tcPr/>
          <w:p>
            <w:pPr>
              <w:pStyle w:val="Compact"/>
              <w:jc w:val="left"/>
            </w:pPr>
            <w:r>
              <w:t xml:space="preserve">Sheepshead</w:t>
            </w:r>
          </w:p>
        </w:tc>
        <w:tc>
          <w:tcPr/>
          <w:p>
            <w:pPr>
              <w:pStyle w:val="Compact"/>
              <w:jc w:val="right"/>
            </w:pPr>
            <w:r>
              <w:t xml:space="preserve">0.042</w:t>
            </w:r>
          </w:p>
        </w:tc>
        <w:tc>
          <w:tcPr/>
          <w:p>
            <w:pPr>
              <w:pStyle w:val="Compact"/>
              <w:jc w:val="left"/>
            </w:pPr>
            <w:r>
              <w:t xml:space="preserve">Spanish mackerel</w:t>
            </w:r>
          </w:p>
        </w:tc>
        <w:tc>
          <w:tcPr/>
          <w:p>
            <w:pPr>
              <w:pStyle w:val="Compact"/>
              <w:jc w:val="right"/>
            </w:pPr>
            <w:r>
              <w:t xml:space="preserve">0.040</w:t>
            </w:r>
          </w:p>
        </w:tc>
        <w:tc>
          <w:tcPr/>
          <w:p>
            <w:pPr>
              <w:pStyle w:val="Compact"/>
              <w:jc w:val="left"/>
            </w:pPr>
            <w:r>
              <w:t xml:space="preserve">Florida pompano</w:t>
            </w:r>
          </w:p>
        </w:tc>
        <w:tc>
          <w:tcPr/>
          <w:p>
            <w:pPr>
              <w:pStyle w:val="Compact"/>
              <w:jc w:val="right"/>
            </w:pPr>
            <w:r>
              <w:t xml:space="preserve">0.033</w:t>
            </w:r>
          </w:p>
        </w:tc>
      </w:tr>
    </w:tbl>
    <w:p>
      <w:pPr>
        <w:pStyle w:val="BodyText"/>
      </w:pPr>
      <w:r>
        <w:rPr>
          <w:b/>
          <w:bCs/>
        </w:rPr>
        <w:t xml:space="preserve">Table 3. Proportions of species targeted by fishing trips made in Escambia County by anglers from various origins, for 2014-2024.</w:t>
      </w:r>
      <w:r>
        <w:br/>
      </w:r>
      <w:r>
        <w:t xml:space="preserve">This table shows the top 5 species anglers fish in Escambia County, depending on where they live.</w:t>
      </w:r>
      <w:r>
        <w:t xml:space="preserve"> </w:t>
      </w:r>
      <w:r>
        <w:rPr>
          <w:b/>
          <w:bCs/>
        </w:rPr>
        <w:t xml:space="preserve">Columns 1-2</w:t>
      </w:r>
      <w:r>
        <w:t xml:space="preserve"> </w:t>
      </w:r>
      <w:r>
        <w:t xml:space="preserve">shows what anglers fish for in Escambia County regardless of where they come from.</w:t>
      </w:r>
      <w:r>
        <w:t xml:space="preserve"> </w:t>
      </w:r>
      <w:r>
        <w:rPr>
          <w:b/>
          <w:bCs/>
        </w:rPr>
        <w:t xml:space="preserve">Columns 3-4</w:t>
      </w:r>
      <w:r>
        <w:t xml:space="preserve"> </w:t>
      </w:r>
      <w:r>
        <w:t xml:space="preserve">shows what Escambia County resident anglers fish for,</w:t>
      </w:r>
      <w:r>
        <w:t xml:space="preserve"> </w:t>
      </w:r>
      <w:r>
        <w:rPr>
          <w:b/>
          <w:bCs/>
        </w:rPr>
        <w:t xml:space="preserve">Columns 5-6</w:t>
      </w:r>
      <w:r>
        <w:t xml:space="preserve"> </w:t>
      </w:r>
      <w:r>
        <w:t xml:space="preserve">shows what anglers who live in Florida but not Escambia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roc1@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roc1@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2E74BC-91FB-42BF-8CC0-BD141BD879A2}"/>
</file>

<file path=customXml/itemProps2.xml><?xml version="1.0" encoding="utf-8"?>
<ds:datastoreItem xmlns:ds="http://schemas.openxmlformats.org/officeDocument/2006/customXml" ds:itemID="{7B29F4EB-12F7-4A2C-9A28-AED136B2F96D}"/>
</file>

<file path=customXml/itemProps3.xml><?xml version="1.0" encoding="utf-8"?>
<ds:datastoreItem xmlns:ds="http://schemas.openxmlformats.org/officeDocument/2006/customXml" ds:itemID="{16E74B39-3B11-4B7D-8396-EE6E648A952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Escambia County</dc:title>
  <dc:creator>Prepared for Escambia County by Ed Camp (edvcamp@ufl.edu) Assistant Professor University of Florida, and Rick O’Connor, Florida Sea Grant Extension Agent Escambia County, roc1@ufl.edu</dc:creator>
  <cp:keywords/>
  <dcterms:created xsi:type="dcterms:W3CDTF">2025-03-13T18:47:43Z</dcterms:created>
  <dcterms:modified xsi:type="dcterms:W3CDTF">2025-03-13T18:47:43Z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