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Flagler County</w:t>
      </w:r>
    </w:p>
    <w:p>
      <w:pPr>
        <w:pStyle w:val="Author"/>
      </w:pPr>
      <w:r>
        <w:t xml:space="preserve">Prepared for Flagler County by Ed Camp (</w:t>
      </w:r>
      <w:hyperlink r:id="rId20">
        <w:r>
          <w:rPr>
            <w:rStyle w:val="Hyperlink"/>
          </w:rPr>
          <w:t xml:space="preserve">edvcamp@ufl.edu</w:t>
        </w:r>
      </w:hyperlink>
      <w:r>
        <w:t xml:space="preserve">) Assistant Professor University of Florida Carolyn Kovacs, Florida Sea Grant Extension Agent Flagler and Volusia Counties,</w:t>
      </w:r>
      <w:r>
        <w:t xml:space="preserve"> </w:t>
      </w:r>
      <w:hyperlink r:id="rId21">
        <w:r>
          <w:rPr>
            <w:rStyle w:val="Hyperlink"/>
          </w:rPr>
          <w:t xml:space="preserve">c.kovacs@ufl.edu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Flagler County</w:t>
      </w:r>
      <w:r>
        <w:t xml:space="preserve">. The report describes information about where people come from when they fish Flagler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Flagler County</w:t>
      </w:r>
      <w:r>
        <w:t xml:space="preserve">, which Carolyn Kovacs can provide you.</w:t>
      </w:r>
    </w:p>
    <w:p>
      <w:pPr>
        <w:pStyle w:val="BodyText"/>
      </w:pPr>
    </w:p>
    <w:bookmarkEnd w:id="22"/>
    <w:bookmarkStart w:id="25" w:name="Xe416275c5a9fa43bf7ec68f3304f4fec68d1e45"/>
    <w:p>
      <w:pPr>
        <w:pStyle w:val="Heading3"/>
      </w:pPr>
      <w:r>
        <w:t xml:space="preserve">Where people come from to fish Flagler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641"/>
        <w:gridCol w:w="579"/>
        <w:gridCol w:w="2221"/>
        <w:gridCol w:w="579"/>
        <w:gridCol w:w="2318"/>
        <w:gridCol w:w="579"/>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North Florida</w:t>
            </w:r>
          </w:p>
        </w:tc>
        <w:tc>
          <w:tcPr/>
          <w:p>
            <w:pPr>
              <w:pStyle w:val="Compact"/>
              <w:jc w:val="right"/>
            </w:pPr>
            <w:r>
              <w:t xml:space="preserve">Prop.</w:t>
            </w:r>
          </w:p>
        </w:tc>
        <w:tc>
          <w:tcPr/>
          <w:p>
            <w:pPr>
              <w:pStyle w:val="Compact"/>
              <w:jc w:val="left"/>
            </w:pPr>
            <w:r>
              <w:t xml:space="preserve">Trips to Flagler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Georgia</w:t>
            </w:r>
          </w:p>
        </w:tc>
        <w:tc>
          <w:tcPr/>
          <w:p>
            <w:pPr>
              <w:pStyle w:val="Compact"/>
              <w:jc w:val="right"/>
            </w:pPr>
            <w:r>
              <w:t xml:space="preserve">0.332</w:t>
            </w:r>
          </w:p>
        </w:tc>
        <w:tc>
          <w:tcPr/>
          <w:p>
            <w:pPr>
              <w:pStyle w:val="Compact"/>
              <w:jc w:val="left"/>
            </w:pPr>
            <w:r>
              <w:t xml:space="preserve">Georgia</w:t>
            </w:r>
          </w:p>
        </w:tc>
        <w:tc>
          <w:tcPr/>
          <w:p>
            <w:pPr>
              <w:pStyle w:val="Compact"/>
              <w:jc w:val="right"/>
            </w:pPr>
            <w:r>
              <w:t xml:space="preserve">0.156</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North Carolina</w:t>
            </w:r>
          </w:p>
        </w:tc>
        <w:tc>
          <w:tcPr/>
          <w:p>
            <w:pPr>
              <w:pStyle w:val="Compact"/>
              <w:jc w:val="right"/>
            </w:pPr>
            <w:r>
              <w:t xml:space="preserve">0.077</w:t>
            </w:r>
          </w:p>
        </w:tc>
        <w:tc>
          <w:tcPr/>
          <w:p>
            <w:pPr>
              <w:pStyle w:val="Compact"/>
              <w:jc w:val="left"/>
            </w:pPr>
            <w:r>
              <w:t xml:space="preserve">Pennsylvania</w:t>
            </w:r>
          </w:p>
        </w:tc>
        <w:tc>
          <w:tcPr/>
          <w:p>
            <w:pPr>
              <w:pStyle w:val="Compact"/>
              <w:jc w:val="right"/>
            </w:pPr>
            <w:r>
              <w:t xml:space="preserve">0.121</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South Carolina</w:t>
            </w:r>
          </w:p>
        </w:tc>
        <w:tc>
          <w:tcPr/>
          <w:p>
            <w:pPr>
              <w:pStyle w:val="Compact"/>
              <w:jc w:val="right"/>
            </w:pPr>
            <w:r>
              <w:t xml:space="preserve">0.064</w:t>
            </w:r>
          </w:p>
        </w:tc>
        <w:tc>
          <w:tcPr/>
          <w:p>
            <w:pPr>
              <w:pStyle w:val="Compact"/>
              <w:jc w:val="left"/>
            </w:pPr>
            <w:r>
              <w:t xml:space="preserve">North Carolina</w:t>
            </w:r>
          </w:p>
        </w:tc>
        <w:tc>
          <w:tcPr/>
          <w:p>
            <w:pPr>
              <w:pStyle w:val="Compact"/>
              <w:jc w:val="right"/>
            </w:pPr>
            <w:r>
              <w:t xml:space="preserve">0.095</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Tennessee</w:t>
            </w:r>
          </w:p>
        </w:tc>
        <w:tc>
          <w:tcPr/>
          <w:p>
            <w:pPr>
              <w:pStyle w:val="Compact"/>
              <w:jc w:val="right"/>
            </w:pPr>
            <w:r>
              <w:t xml:space="preserve">0.049</w:t>
            </w:r>
          </w:p>
        </w:tc>
        <w:tc>
          <w:tcPr/>
          <w:p>
            <w:pPr>
              <w:pStyle w:val="Compact"/>
              <w:jc w:val="left"/>
            </w:pPr>
            <w:r>
              <w:t xml:space="preserve">New York</w:t>
            </w:r>
          </w:p>
        </w:tc>
        <w:tc>
          <w:tcPr/>
          <w:p>
            <w:pPr>
              <w:pStyle w:val="Compact"/>
              <w:jc w:val="right"/>
            </w:pPr>
            <w:r>
              <w:t xml:space="preserve">0.075</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Ohio</w:t>
            </w:r>
          </w:p>
        </w:tc>
        <w:tc>
          <w:tcPr/>
          <w:p>
            <w:pPr>
              <w:pStyle w:val="Compact"/>
              <w:jc w:val="right"/>
            </w:pPr>
            <w:r>
              <w:t xml:space="preserve">0.041</w:t>
            </w:r>
          </w:p>
        </w:tc>
        <w:tc>
          <w:tcPr/>
          <w:p>
            <w:pPr>
              <w:pStyle w:val="Compact"/>
              <w:jc w:val="left"/>
            </w:pPr>
            <w:r>
              <w:t xml:space="preserve">Not Available</w:t>
            </w:r>
          </w:p>
        </w:tc>
        <w:tc>
          <w:tcPr/>
          <w:p>
            <w:pPr>
              <w:pStyle w:val="Compact"/>
              <w:jc w:val="right"/>
            </w:pPr>
            <w:r>
              <w:t xml:space="preserve">0.065</w:t>
            </w:r>
          </w:p>
        </w:tc>
      </w:tr>
    </w:tbl>
    <w:p>
      <w:pPr>
        <w:pStyle w:val="BodyText"/>
      </w:pPr>
      <w:r>
        <w:rPr>
          <w:b/>
          <w:bCs/>
        </w:rPr>
        <w:t xml:space="preserve">Table 1. The origins of out-of-state angler trips for Florida, the region, and specifically Flagler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Flagler County. Comparing the columns shows how Flagler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Putnam</w:t>
            </w:r>
          </w:p>
        </w:tc>
        <w:tc>
          <w:tcPr/>
          <w:p>
            <w:pPr>
              <w:pStyle w:val="Compact"/>
              <w:jc w:val="right"/>
            </w:pPr>
            <w:r>
              <w:t xml:space="preserve">0.195</w:t>
            </w:r>
          </w:p>
        </w:tc>
        <w:tc>
          <w:tcPr/>
          <w:p>
            <w:pPr>
              <w:pStyle w:val="Compact"/>
              <w:jc w:val="left"/>
            </w:pPr>
            <w:r>
              <w:t xml:space="preserve">Flagler</w:t>
            </w:r>
          </w:p>
        </w:tc>
        <w:tc>
          <w:tcPr/>
          <w:p>
            <w:pPr>
              <w:pStyle w:val="Compact"/>
              <w:jc w:val="right"/>
            </w:pPr>
            <w:r>
              <w:t xml:space="preserve">0.622</w:t>
            </w:r>
          </w:p>
        </w:tc>
      </w:tr>
      <w:tr>
        <w:tc>
          <w:tcPr/>
          <w:p>
            <w:pPr>
              <w:pStyle w:val="Compact"/>
              <w:jc w:val="left"/>
            </w:pPr>
            <w:r>
              <w:t xml:space="preserve">St Johns</w:t>
            </w:r>
          </w:p>
        </w:tc>
        <w:tc>
          <w:tcPr/>
          <w:p>
            <w:pPr>
              <w:pStyle w:val="Compact"/>
              <w:jc w:val="right"/>
            </w:pPr>
            <w:r>
              <w:t xml:space="preserve">0.192</w:t>
            </w:r>
          </w:p>
        </w:tc>
        <w:tc>
          <w:tcPr/>
          <w:p>
            <w:pPr>
              <w:pStyle w:val="Compact"/>
              <w:jc w:val="left"/>
            </w:pPr>
            <w:r>
              <w:t xml:space="preserve">Putnam</w:t>
            </w:r>
          </w:p>
        </w:tc>
        <w:tc>
          <w:tcPr/>
          <w:p>
            <w:pPr>
              <w:pStyle w:val="Compact"/>
              <w:jc w:val="right"/>
            </w:pPr>
            <w:r>
              <w:t xml:space="preserve">0.074</w:t>
            </w:r>
          </w:p>
        </w:tc>
      </w:tr>
      <w:tr>
        <w:tc>
          <w:tcPr/>
          <w:p>
            <w:pPr>
              <w:pStyle w:val="Compact"/>
              <w:jc w:val="left"/>
            </w:pPr>
            <w:r>
              <w:t xml:space="preserve">Volusia</w:t>
            </w:r>
          </w:p>
        </w:tc>
        <w:tc>
          <w:tcPr/>
          <w:p>
            <w:pPr>
              <w:pStyle w:val="Compact"/>
              <w:jc w:val="right"/>
            </w:pPr>
            <w:r>
              <w:t xml:space="preserve">0.188</w:t>
            </w:r>
          </w:p>
        </w:tc>
        <w:tc>
          <w:tcPr/>
          <w:p>
            <w:pPr>
              <w:pStyle w:val="Compact"/>
              <w:jc w:val="left"/>
            </w:pPr>
            <w:r>
              <w:t xml:space="preserve">St Johns</w:t>
            </w:r>
          </w:p>
        </w:tc>
        <w:tc>
          <w:tcPr/>
          <w:p>
            <w:pPr>
              <w:pStyle w:val="Compact"/>
              <w:jc w:val="right"/>
            </w:pPr>
            <w:r>
              <w:t xml:space="preserve">0.072</w:t>
            </w:r>
          </w:p>
        </w:tc>
      </w:tr>
      <w:tr>
        <w:tc>
          <w:tcPr/>
          <w:p>
            <w:pPr>
              <w:pStyle w:val="Compact"/>
              <w:jc w:val="left"/>
            </w:pPr>
            <w:r>
              <w:t xml:space="preserve">Marion</w:t>
            </w:r>
          </w:p>
        </w:tc>
        <w:tc>
          <w:tcPr/>
          <w:p>
            <w:pPr>
              <w:pStyle w:val="Compact"/>
              <w:jc w:val="right"/>
            </w:pPr>
            <w:r>
              <w:t xml:space="preserve">0.089</w:t>
            </w:r>
          </w:p>
        </w:tc>
        <w:tc>
          <w:tcPr/>
          <w:p>
            <w:pPr>
              <w:pStyle w:val="Compact"/>
              <w:jc w:val="left"/>
            </w:pPr>
            <w:r>
              <w:t xml:space="preserve">Volusia</w:t>
            </w:r>
          </w:p>
        </w:tc>
        <w:tc>
          <w:tcPr/>
          <w:p>
            <w:pPr>
              <w:pStyle w:val="Compact"/>
              <w:jc w:val="right"/>
            </w:pPr>
            <w:r>
              <w:t xml:space="preserve">0.071</w:t>
            </w:r>
          </w:p>
        </w:tc>
      </w:tr>
      <w:tr>
        <w:tc>
          <w:tcPr/>
          <w:p>
            <w:pPr>
              <w:pStyle w:val="Compact"/>
              <w:jc w:val="left"/>
            </w:pPr>
            <w:r>
              <w:t xml:space="preserve">Duval</w:t>
            </w:r>
          </w:p>
        </w:tc>
        <w:tc>
          <w:tcPr/>
          <w:p>
            <w:pPr>
              <w:pStyle w:val="Compact"/>
              <w:jc w:val="right"/>
            </w:pPr>
            <w:r>
              <w:t xml:space="preserve">0.067</w:t>
            </w:r>
          </w:p>
        </w:tc>
        <w:tc>
          <w:tcPr/>
          <w:p>
            <w:pPr>
              <w:pStyle w:val="Compact"/>
              <w:jc w:val="left"/>
            </w:pPr>
            <w:r>
              <w:t xml:space="preserve">Marion</w:t>
            </w:r>
          </w:p>
        </w:tc>
        <w:tc>
          <w:tcPr/>
          <w:p>
            <w:pPr>
              <w:pStyle w:val="Compact"/>
              <w:jc w:val="right"/>
            </w:pPr>
            <w:r>
              <w:t xml:space="preserve">0.034</w:t>
            </w:r>
          </w:p>
        </w:tc>
      </w:tr>
    </w:tbl>
    <w:p>
      <w:pPr>
        <w:pStyle w:val="BodyText"/>
      </w:pPr>
      <w:r>
        <w:rPr>
          <w:b/>
          <w:bCs/>
        </w:rPr>
        <w:t xml:space="preserve">Table 2. The origins of Florida resident anglers fishing in Flagler County, for 2014-2024.</w:t>
      </w:r>
      <w:r>
        <w:br/>
      </w:r>
      <w:r>
        <w:t xml:space="preserve">This table shows where Florida resident anglers come from when they fish Flagler County.</w:t>
      </w:r>
      <w:r>
        <w:t xml:space="preserve"> </w:t>
      </w:r>
      <w:r>
        <w:rPr>
          <w:b/>
          <w:bCs/>
        </w:rPr>
        <w:t xml:space="preserve">Columns 1 &amp; 2</w:t>
      </w:r>
      <w:r>
        <w:rPr>
          <w:b/>
          <w:bCs/>
        </w:rPr>
        <w:t xml:space="preserve"> </w:t>
      </w:r>
      <w:r>
        <w:t xml:space="preserve"> </w:t>
      </w:r>
      <w:r>
        <w:t xml:space="preserve">show origins of trips in Flagler County by anglers who are</w:t>
      </w:r>
      <w:r>
        <w:t xml:space="preserve"> </w:t>
      </w:r>
      <w:r>
        <w:rPr>
          <w:b/>
          <w:bCs/>
        </w:rPr>
        <w:t xml:space="preserve">not</w:t>
      </w:r>
      <w:r>
        <w:t xml:space="preserve"> </w:t>
      </w:r>
      <w:r>
        <w:t xml:space="preserve">residents of Flagler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Flagler County. This information can be used to identifying in-state advertising.</w:t>
      </w:r>
    </w:p>
    <w:p>
      <w:pPr>
        <w:pStyle w:val="BodyText"/>
      </w:pPr>
    </w:p>
    <w:bookmarkEnd w:id="24"/>
    <w:bookmarkEnd w:id="25"/>
    <w:bookmarkStart w:id="27" w:name="what-people-fish-for-in-flagler-county"/>
    <w:p>
      <w:pPr>
        <w:pStyle w:val="Heading3"/>
      </w:pPr>
      <w:r>
        <w:t xml:space="preserve">What people fish for in Flagler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636"/>
        <w:gridCol w:w="392"/>
        <w:gridCol w:w="1570"/>
        <w:gridCol w:w="392"/>
        <w:gridCol w:w="1570"/>
        <w:gridCol w:w="392"/>
        <w:gridCol w:w="1570"/>
        <w:gridCol w:w="392"/>
      </w:tblGrid>
      <w:tr>
        <w:trPr>
          <w:tblHeader w:val="on"/>
        </w:trPr>
        <w:tc>
          <w:tcPr/>
          <w:p>
            <w:pPr>
              <w:pStyle w:val="Compact"/>
              <w:jc w:val="left"/>
            </w:pPr>
            <w:r>
              <w:t xml:space="preserve">All Flagler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0.544</w:t>
            </w:r>
          </w:p>
        </w:tc>
        <w:tc>
          <w:tcPr/>
          <w:p>
            <w:pPr>
              <w:pStyle w:val="Compact"/>
              <w:jc w:val="left"/>
            </w:pPr>
            <w:r>
              <w:t xml:space="preserve">No Target</w:t>
            </w:r>
          </w:p>
        </w:tc>
        <w:tc>
          <w:tcPr/>
          <w:p>
            <w:pPr>
              <w:pStyle w:val="Compact"/>
              <w:jc w:val="right"/>
            </w:pPr>
            <w:r>
              <w:t xml:space="preserve">0.497</w:t>
            </w:r>
          </w:p>
        </w:tc>
        <w:tc>
          <w:tcPr/>
          <w:p>
            <w:pPr>
              <w:pStyle w:val="Compact"/>
              <w:jc w:val="left"/>
            </w:pPr>
            <w:r>
              <w:t xml:space="preserve">No Target</w:t>
            </w:r>
          </w:p>
        </w:tc>
        <w:tc>
          <w:tcPr/>
          <w:p>
            <w:pPr>
              <w:pStyle w:val="Compact"/>
              <w:jc w:val="right"/>
            </w:pPr>
            <w:r>
              <w:t xml:space="preserve">0.592</w:t>
            </w:r>
          </w:p>
        </w:tc>
        <w:tc>
          <w:tcPr/>
          <w:p>
            <w:pPr>
              <w:pStyle w:val="Compact"/>
              <w:jc w:val="left"/>
            </w:pPr>
            <w:r>
              <w:t xml:space="preserve">No Target</w:t>
            </w:r>
          </w:p>
        </w:tc>
        <w:tc>
          <w:tcPr/>
          <w:p>
            <w:pPr>
              <w:pStyle w:val="Compact"/>
              <w:jc w:val="right"/>
            </w:pPr>
            <w:r>
              <w:t xml:space="preserve">0.688</w:t>
            </w:r>
          </w:p>
        </w:tc>
      </w:tr>
      <w:tr>
        <w:tc>
          <w:tcPr/>
          <w:p>
            <w:pPr>
              <w:pStyle w:val="Compact"/>
              <w:jc w:val="left"/>
            </w:pPr>
            <w:r>
              <w:t xml:space="preserve">Red drum</w:t>
            </w:r>
          </w:p>
        </w:tc>
        <w:tc>
          <w:tcPr/>
          <w:p>
            <w:pPr>
              <w:pStyle w:val="Compact"/>
              <w:jc w:val="right"/>
            </w:pPr>
            <w:r>
              <w:t xml:space="preserve">0.212</w:t>
            </w:r>
          </w:p>
        </w:tc>
        <w:tc>
          <w:tcPr/>
          <w:p>
            <w:pPr>
              <w:pStyle w:val="Compact"/>
              <w:jc w:val="left"/>
            </w:pPr>
            <w:r>
              <w:t xml:space="preserve">Red drum</w:t>
            </w:r>
          </w:p>
        </w:tc>
        <w:tc>
          <w:tcPr/>
          <w:p>
            <w:pPr>
              <w:pStyle w:val="Compact"/>
              <w:jc w:val="right"/>
            </w:pPr>
            <w:r>
              <w:t xml:space="preserve">0.216</w:t>
            </w:r>
          </w:p>
        </w:tc>
        <w:tc>
          <w:tcPr/>
          <w:p>
            <w:pPr>
              <w:pStyle w:val="Compact"/>
              <w:jc w:val="left"/>
            </w:pPr>
            <w:r>
              <w:t xml:space="preserve">Red drum</w:t>
            </w:r>
          </w:p>
        </w:tc>
        <w:tc>
          <w:tcPr/>
          <w:p>
            <w:pPr>
              <w:pStyle w:val="Compact"/>
              <w:jc w:val="right"/>
            </w:pPr>
            <w:r>
              <w:t xml:space="preserve">0.209</w:t>
            </w:r>
          </w:p>
        </w:tc>
        <w:tc>
          <w:tcPr/>
          <w:p>
            <w:pPr>
              <w:pStyle w:val="Compact"/>
              <w:jc w:val="left"/>
            </w:pPr>
            <w:r>
              <w:t xml:space="preserve">Red drum</w:t>
            </w:r>
          </w:p>
        </w:tc>
        <w:tc>
          <w:tcPr/>
          <w:p>
            <w:pPr>
              <w:pStyle w:val="Compact"/>
              <w:jc w:val="right"/>
            </w:pPr>
            <w:r>
              <w:t xml:space="preserve">0.196</w:t>
            </w:r>
          </w:p>
        </w:tc>
      </w:tr>
      <w:tr>
        <w:tc>
          <w:tcPr/>
          <w:p>
            <w:pPr>
              <w:pStyle w:val="Compact"/>
              <w:jc w:val="left"/>
            </w:pPr>
            <w:r>
              <w:t xml:space="preserve">Lefteye flounder family</w:t>
            </w:r>
          </w:p>
        </w:tc>
        <w:tc>
          <w:tcPr/>
          <w:p>
            <w:pPr>
              <w:pStyle w:val="Compact"/>
              <w:jc w:val="right"/>
            </w:pPr>
            <w:r>
              <w:t xml:space="preserve">0.039</w:t>
            </w:r>
          </w:p>
        </w:tc>
        <w:tc>
          <w:tcPr/>
          <w:p>
            <w:pPr>
              <w:pStyle w:val="Compact"/>
              <w:jc w:val="left"/>
            </w:pPr>
            <w:r>
              <w:t xml:space="preserve">Red snapper</w:t>
            </w:r>
          </w:p>
        </w:tc>
        <w:tc>
          <w:tcPr/>
          <w:p>
            <w:pPr>
              <w:pStyle w:val="Compact"/>
              <w:jc w:val="right"/>
            </w:pPr>
            <w:r>
              <w:t xml:space="preserve">0.054</w:t>
            </w:r>
          </w:p>
        </w:tc>
        <w:tc>
          <w:tcPr/>
          <w:p>
            <w:pPr>
              <w:pStyle w:val="Compact"/>
              <w:jc w:val="left"/>
            </w:pPr>
            <w:r>
              <w:t xml:space="preserve">Lefteye flounder family</w:t>
            </w:r>
          </w:p>
        </w:tc>
        <w:tc>
          <w:tcPr/>
          <w:p>
            <w:pPr>
              <w:pStyle w:val="Compact"/>
              <w:jc w:val="right"/>
            </w:pPr>
            <w:r>
              <w:t xml:space="preserve">0.039</w:t>
            </w:r>
          </w:p>
        </w:tc>
        <w:tc>
          <w:tcPr/>
          <w:p>
            <w:pPr>
              <w:pStyle w:val="Compact"/>
              <w:jc w:val="left"/>
            </w:pPr>
            <w:r>
              <w:t xml:space="preserve">Lefteye flounder family</w:t>
            </w:r>
          </w:p>
        </w:tc>
        <w:tc>
          <w:tcPr/>
          <w:p>
            <w:pPr>
              <w:pStyle w:val="Compact"/>
              <w:jc w:val="right"/>
            </w:pPr>
            <w:r>
              <w:t xml:space="preserve">0.050</w:t>
            </w:r>
          </w:p>
        </w:tc>
      </w:tr>
      <w:tr>
        <w:tc>
          <w:tcPr/>
          <w:p>
            <w:pPr>
              <w:pStyle w:val="Compact"/>
              <w:jc w:val="left"/>
            </w:pPr>
            <w:r>
              <w:t xml:space="preserve">Red snapper</w:t>
            </w:r>
          </w:p>
        </w:tc>
        <w:tc>
          <w:tcPr/>
          <w:p>
            <w:pPr>
              <w:pStyle w:val="Compact"/>
              <w:jc w:val="right"/>
            </w:pPr>
            <w:r>
              <w:t xml:space="preserve">0.034</w:t>
            </w:r>
          </w:p>
        </w:tc>
        <w:tc>
          <w:tcPr/>
          <w:p>
            <w:pPr>
              <w:pStyle w:val="Compact"/>
              <w:jc w:val="left"/>
            </w:pPr>
            <w:r>
              <w:t xml:space="preserve">Lefteye flounder genus</w:t>
            </w:r>
          </w:p>
        </w:tc>
        <w:tc>
          <w:tcPr/>
          <w:p>
            <w:pPr>
              <w:pStyle w:val="Compact"/>
              <w:jc w:val="right"/>
            </w:pPr>
            <w:r>
              <w:t xml:space="preserve">0.041</w:t>
            </w:r>
          </w:p>
        </w:tc>
        <w:tc>
          <w:tcPr/>
          <w:p>
            <w:pPr>
              <w:pStyle w:val="Compact"/>
              <w:jc w:val="left"/>
            </w:pPr>
            <w:r>
              <w:t xml:space="preserve">Kingfish genus</w:t>
            </w:r>
          </w:p>
        </w:tc>
        <w:tc>
          <w:tcPr/>
          <w:p>
            <w:pPr>
              <w:pStyle w:val="Compact"/>
              <w:jc w:val="right"/>
            </w:pPr>
            <w:r>
              <w:t xml:space="preserve">0.029</w:t>
            </w:r>
          </w:p>
        </w:tc>
        <w:tc>
          <w:tcPr/>
          <w:p>
            <w:pPr>
              <w:pStyle w:val="Compact"/>
              <w:jc w:val="left"/>
            </w:pPr>
            <w:r>
              <w:t xml:space="preserve">Kingfish genus</w:t>
            </w:r>
          </w:p>
        </w:tc>
        <w:tc>
          <w:tcPr/>
          <w:p>
            <w:pPr>
              <w:pStyle w:val="Compact"/>
              <w:jc w:val="right"/>
            </w:pPr>
            <w:r>
              <w:t xml:space="preserve">0.015</w:t>
            </w:r>
          </w:p>
        </w:tc>
      </w:tr>
      <w:tr>
        <w:tc>
          <w:tcPr/>
          <w:p>
            <w:pPr>
              <w:pStyle w:val="Compact"/>
              <w:jc w:val="left"/>
            </w:pPr>
            <w:r>
              <w:t xml:space="preserve">King mackerel</w:t>
            </w:r>
          </w:p>
        </w:tc>
        <w:tc>
          <w:tcPr/>
          <w:p>
            <w:pPr>
              <w:pStyle w:val="Compact"/>
              <w:jc w:val="right"/>
            </w:pPr>
            <w:r>
              <w:t xml:space="preserve">0.026</w:t>
            </w:r>
          </w:p>
        </w:tc>
        <w:tc>
          <w:tcPr/>
          <w:p>
            <w:pPr>
              <w:pStyle w:val="Compact"/>
              <w:jc w:val="left"/>
            </w:pPr>
            <w:r>
              <w:t xml:space="preserve">Lefteye flounder family</w:t>
            </w:r>
          </w:p>
        </w:tc>
        <w:tc>
          <w:tcPr/>
          <w:p>
            <w:pPr>
              <w:pStyle w:val="Compact"/>
              <w:jc w:val="right"/>
            </w:pPr>
            <w:r>
              <w:t xml:space="preserve">0.039</w:t>
            </w:r>
          </w:p>
        </w:tc>
        <w:tc>
          <w:tcPr/>
          <w:p>
            <w:pPr>
              <w:pStyle w:val="Compact"/>
              <w:jc w:val="left"/>
            </w:pPr>
            <w:r>
              <w:t xml:space="preserve">Gray snapper</w:t>
            </w:r>
          </w:p>
        </w:tc>
        <w:tc>
          <w:tcPr/>
          <w:p>
            <w:pPr>
              <w:pStyle w:val="Compact"/>
              <w:jc w:val="right"/>
            </w:pPr>
            <w:r>
              <w:t xml:space="preserve">0.023</w:t>
            </w:r>
          </w:p>
        </w:tc>
        <w:tc>
          <w:tcPr/>
          <w:p>
            <w:pPr>
              <w:pStyle w:val="Compact"/>
              <w:jc w:val="left"/>
            </w:pPr>
            <w:r>
              <w:t xml:space="preserve">Sheepshead</w:t>
            </w:r>
          </w:p>
        </w:tc>
        <w:tc>
          <w:tcPr/>
          <w:p>
            <w:pPr>
              <w:pStyle w:val="Compact"/>
              <w:jc w:val="right"/>
            </w:pPr>
            <w:r>
              <w:t xml:space="preserve">0.015</w:t>
            </w:r>
          </w:p>
        </w:tc>
      </w:tr>
    </w:tbl>
    <w:p>
      <w:pPr>
        <w:pStyle w:val="BodyText"/>
      </w:pPr>
      <w:r>
        <w:rPr>
          <w:b/>
          <w:bCs/>
        </w:rPr>
        <w:t xml:space="preserve">Table 3. Proportions of species targeted by fishing trips made in Flagler County by anglers from various origins, for 2014-2024.</w:t>
      </w:r>
      <w:r>
        <w:br/>
      </w:r>
      <w:r>
        <w:t xml:space="preserve">This table shows the top 5 species anglers fish in Flagler County, depending on where they live.</w:t>
      </w:r>
      <w:r>
        <w:t xml:space="preserve"> </w:t>
      </w:r>
      <w:r>
        <w:rPr>
          <w:b/>
          <w:bCs/>
        </w:rPr>
        <w:t xml:space="preserve">Columns 1-2</w:t>
      </w:r>
      <w:r>
        <w:t xml:space="preserve"> </w:t>
      </w:r>
      <w:r>
        <w:t xml:space="preserve">shows what anglers fish for in Flagler County regardless of where they come from.</w:t>
      </w:r>
      <w:r>
        <w:t xml:space="preserve"> </w:t>
      </w:r>
      <w:r>
        <w:rPr>
          <w:b/>
          <w:bCs/>
        </w:rPr>
        <w:t xml:space="preserve">Columns 3-4</w:t>
      </w:r>
      <w:r>
        <w:t xml:space="preserve"> </w:t>
      </w:r>
      <w:r>
        <w:t xml:space="preserve">shows what Flagler County resident anglers fish for,</w:t>
      </w:r>
      <w:r>
        <w:t xml:space="preserve"> </w:t>
      </w:r>
      <w:r>
        <w:rPr>
          <w:b/>
          <w:bCs/>
        </w:rPr>
        <w:t xml:space="preserve">Columns 5-6</w:t>
      </w:r>
      <w:r>
        <w:t xml:space="preserve"> </w:t>
      </w:r>
      <w:r>
        <w:t xml:space="preserve">shows what anglers who live in Florida but not Flagler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c.kovacs@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c.kovac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0A24EF-2CC1-4DAF-8646-DD09750FD7B3}"/>
</file>

<file path=customXml/itemProps2.xml><?xml version="1.0" encoding="utf-8"?>
<ds:datastoreItem xmlns:ds="http://schemas.openxmlformats.org/officeDocument/2006/customXml" ds:itemID="{1925EE2A-128B-420B-9D7D-EC6F36A7FE52}"/>
</file>

<file path=customXml/itemProps3.xml><?xml version="1.0" encoding="utf-8"?>
<ds:datastoreItem xmlns:ds="http://schemas.openxmlformats.org/officeDocument/2006/customXml" ds:itemID="{2D27442B-887B-488D-8082-89B681652D3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Flagler County</dc:title>
  <dc:creator>Prepared for Flagler County by Ed Camp (edvcamp@ufl.edu) Assistant Professor University of Florida Carolyn Kovacs, Florida Sea Grant Extension Agent Flagler and Volusia Counties, c.kovacs@ufl.edu</dc:creator>
  <cp:keywords/>
  <dcterms:created xsi:type="dcterms:W3CDTF">2025-03-13T18:47:58Z</dcterms:created>
  <dcterms:modified xsi:type="dcterms:W3CDTF">2025-03-13T18:47:58Z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