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Hernando County</w:t>
      </w:r>
    </w:p>
    <w:p>
      <w:pPr>
        <w:pStyle w:val="Author"/>
      </w:pPr>
      <w:r>
        <w:t xml:space="preserve">Prepared for Hernando County by Ed Camp (</w:t>
      </w:r>
      <w:hyperlink r:id="rId20">
        <w:r>
          <w:rPr>
            <w:rStyle w:val="Hyperlink"/>
          </w:rPr>
          <w:t xml:space="preserve">edvcamp@ufl.edu</w:t>
        </w:r>
      </w:hyperlink>
      <w:r>
        <w:t xml:space="preserve">) Assistant Professor University of Florida, and Brittany Hall-Scharf, Florida Sea Grant Extension Agent Hernando County,</w:t>
      </w:r>
      <w:r>
        <w:t xml:space="preserve"> </w:t>
      </w:r>
      <w:hyperlink r:id="rId21">
        <w:r>
          <w:rPr>
            <w:rStyle w:val="Hyperlink"/>
          </w:rPr>
          <w:t xml:space="preserve">bhallscharf@ufl.edu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Hernando County</w:t>
      </w:r>
      <w:r>
        <w:t xml:space="preserve">. The report describes information about where people come from when they fish Hernando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Hernando County</w:t>
      </w:r>
      <w:r>
        <w:t xml:space="preserve">, which Brittany Hall-Scharf can provide you.</w:t>
      </w:r>
    </w:p>
    <w:p>
      <w:pPr>
        <w:pStyle w:val="BodyText"/>
      </w:pPr>
    </w:p>
    <w:bookmarkEnd w:id="22"/>
    <w:bookmarkStart w:id="25" w:name="X908b2e3bfaf3b81b5bee1428ca397d4fbd0d842"/>
    <w:p>
      <w:pPr>
        <w:pStyle w:val="Heading3"/>
      </w:pPr>
      <w:r>
        <w:t xml:space="preserve">Where people come from to fish Hernando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26"/>
        <w:gridCol w:w="609"/>
        <w:gridCol w:w="1827"/>
        <w:gridCol w:w="609"/>
        <w:gridCol w:w="2538"/>
        <w:gridCol w:w="60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Big Bend</w:t>
            </w:r>
          </w:p>
        </w:tc>
        <w:tc>
          <w:tcPr/>
          <w:p>
            <w:pPr>
              <w:pStyle w:val="Compact"/>
              <w:jc w:val="right"/>
            </w:pPr>
            <w:r>
              <w:t xml:space="preserve">Prop.</w:t>
            </w:r>
          </w:p>
        </w:tc>
        <w:tc>
          <w:tcPr/>
          <w:p>
            <w:pPr>
              <w:pStyle w:val="Compact"/>
              <w:jc w:val="left"/>
            </w:pPr>
            <w:r>
              <w:t xml:space="preserve">Trips to Hernando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0.159</w:t>
            </w:r>
          </w:p>
        </w:tc>
        <w:tc>
          <w:tcPr/>
          <w:p>
            <w:pPr>
              <w:pStyle w:val="Compact"/>
              <w:jc w:val="left"/>
            </w:pPr>
            <w:r>
              <w:t xml:space="preserve">Pennsylvania</w:t>
            </w:r>
          </w:p>
        </w:tc>
        <w:tc>
          <w:tcPr/>
          <w:p>
            <w:pPr>
              <w:pStyle w:val="Compact"/>
              <w:jc w:val="right"/>
            </w:pPr>
            <w:r>
              <w:t xml:space="preserve">0.087</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0.081</w:t>
            </w:r>
          </w:p>
        </w:tc>
        <w:tc>
          <w:tcPr/>
          <w:p>
            <w:pPr>
              <w:pStyle w:val="Compact"/>
              <w:jc w:val="left"/>
            </w:pPr>
            <w:r>
              <w:t xml:space="preserve">New York</w:t>
            </w:r>
          </w:p>
        </w:tc>
        <w:tc>
          <w:tcPr/>
          <w:p>
            <w:pPr>
              <w:pStyle w:val="Compact"/>
              <w:jc w:val="right"/>
            </w:pPr>
            <w:r>
              <w:t xml:space="preserve">0.082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0.074</w:t>
            </w:r>
          </w:p>
        </w:tc>
        <w:tc>
          <w:tcPr/>
          <w:p>
            <w:pPr>
              <w:pStyle w:val="Compact"/>
              <w:jc w:val="left"/>
            </w:pPr>
            <w:r>
              <w:t xml:space="preserve">Tennessee</w:t>
            </w:r>
          </w:p>
        </w:tc>
        <w:tc>
          <w:tcPr/>
          <w:p>
            <w:pPr>
              <w:pStyle w:val="Compact"/>
              <w:jc w:val="right"/>
            </w:pPr>
            <w:r>
              <w:t xml:space="preserve">0.082</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Pennsylvania</w:t>
            </w:r>
          </w:p>
        </w:tc>
        <w:tc>
          <w:tcPr/>
          <w:p>
            <w:pPr>
              <w:pStyle w:val="Compact"/>
              <w:jc w:val="right"/>
            </w:pPr>
            <w:r>
              <w:t xml:space="preserve">0.053</w:t>
            </w:r>
          </w:p>
        </w:tc>
        <w:tc>
          <w:tcPr/>
          <w:p>
            <w:pPr>
              <w:pStyle w:val="Compact"/>
              <w:jc w:val="left"/>
            </w:pPr>
            <w:r>
              <w:t xml:space="preserve">Michigan</w:t>
            </w:r>
          </w:p>
        </w:tc>
        <w:tc>
          <w:tcPr/>
          <w:p>
            <w:pPr>
              <w:pStyle w:val="Compact"/>
              <w:jc w:val="right"/>
            </w:pPr>
            <w:r>
              <w:t xml:space="preserve">0.071</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New York</w:t>
            </w:r>
          </w:p>
        </w:tc>
        <w:tc>
          <w:tcPr/>
          <w:p>
            <w:pPr>
              <w:pStyle w:val="Compact"/>
              <w:jc w:val="right"/>
            </w:pPr>
            <w:r>
              <w:t xml:space="preserve">0.052</w:t>
            </w:r>
          </w:p>
        </w:tc>
        <w:tc>
          <w:tcPr/>
          <w:p>
            <w:pPr>
              <w:pStyle w:val="Compact"/>
              <w:jc w:val="left"/>
            </w:pPr>
            <w:r>
              <w:t xml:space="preserve">Georgia</w:t>
            </w:r>
          </w:p>
        </w:tc>
        <w:tc>
          <w:tcPr/>
          <w:p>
            <w:pPr>
              <w:pStyle w:val="Compact"/>
              <w:jc w:val="right"/>
            </w:pPr>
            <w:r>
              <w:t xml:space="preserve">0.060</w:t>
            </w:r>
          </w:p>
        </w:tc>
      </w:tr>
    </w:tbl>
    <w:p>
      <w:pPr>
        <w:pStyle w:val="BodyText"/>
      </w:pPr>
      <w:r>
        <w:rPr>
          <w:b/>
          <w:bCs/>
        </w:rPr>
        <w:t xml:space="preserve">Table 1. The origins of out-of-state angler trips for Florida, the region, and specifically Hernando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Hernando County. Comparing the columns shows how Hernando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Pasco</w:t>
            </w:r>
          </w:p>
        </w:tc>
        <w:tc>
          <w:tcPr/>
          <w:p>
            <w:pPr>
              <w:pStyle w:val="Compact"/>
              <w:jc w:val="right"/>
            </w:pPr>
            <w:r>
              <w:t xml:space="preserve">0.467</w:t>
            </w:r>
          </w:p>
        </w:tc>
        <w:tc>
          <w:tcPr/>
          <w:p>
            <w:pPr>
              <w:pStyle w:val="Compact"/>
              <w:jc w:val="left"/>
            </w:pPr>
            <w:r>
              <w:t xml:space="preserve">Hernando</w:t>
            </w:r>
          </w:p>
        </w:tc>
        <w:tc>
          <w:tcPr/>
          <w:p>
            <w:pPr>
              <w:pStyle w:val="Compact"/>
              <w:jc w:val="right"/>
            </w:pPr>
            <w:r>
              <w:t xml:space="preserve">0.668</w:t>
            </w:r>
          </w:p>
        </w:tc>
      </w:tr>
      <w:tr>
        <w:tc>
          <w:tcPr/>
          <w:p>
            <w:pPr>
              <w:pStyle w:val="Compact"/>
              <w:jc w:val="left"/>
            </w:pPr>
            <w:r>
              <w:t xml:space="preserve">Hillsborough</w:t>
            </w:r>
          </w:p>
        </w:tc>
        <w:tc>
          <w:tcPr/>
          <w:p>
            <w:pPr>
              <w:pStyle w:val="Compact"/>
              <w:jc w:val="right"/>
            </w:pPr>
            <w:r>
              <w:t xml:space="preserve">0.102</w:t>
            </w:r>
          </w:p>
        </w:tc>
        <w:tc>
          <w:tcPr/>
          <w:p>
            <w:pPr>
              <w:pStyle w:val="Compact"/>
              <w:jc w:val="left"/>
            </w:pPr>
            <w:r>
              <w:t xml:space="preserve">Pasco</w:t>
            </w:r>
          </w:p>
        </w:tc>
        <w:tc>
          <w:tcPr/>
          <w:p>
            <w:pPr>
              <w:pStyle w:val="Compact"/>
              <w:jc w:val="right"/>
            </w:pPr>
            <w:r>
              <w:t xml:space="preserve">0.155</w:t>
            </w:r>
          </w:p>
        </w:tc>
      </w:tr>
      <w:tr>
        <w:tc>
          <w:tcPr/>
          <w:p>
            <w:pPr>
              <w:pStyle w:val="Compact"/>
              <w:jc w:val="left"/>
            </w:pPr>
            <w:r>
              <w:t xml:space="preserve">Citrus</w:t>
            </w:r>
          </w:p>
        </w:tc>
        <w:tc>
          <w:tcPr/>
          <w:p>
            <w:pPr>
              <w:pStyle w:val="Compact"/>
              <w:jc w:val="right"/>
            </w:pPr>
            <w:r>
              <w:t xml:space="preserve">0.078</w:t>
            </w:r>
          </w:p>
        </w:tc>
        <w:tc>
          <w:tcPr/>
          <w:p>
            <w:pPr>
              <w:pStyle w:val="Compact"/>
              <w:jc w:val="left"/>
            </w:pPr>
            <w:r>
              <w:t xml:space="preserve">Hillsborough</w:t>
            </w:r>
          </w:p>
        </w:tc>
        <w:tc>
          <w:tcPr/>
          <w:p>
            <w:pPr>
              <w:pStyle w:val="Compact"/>
              <w:jc w:val="right"/>
            </w:pPr>
            <w:r>
              <w:t xml:space="preserve">0.034</w:t>
            </w:r>
          </w:p>
        </w:tc>
      </w:tr>
      <w:tr>
        <w:tc>
          <w:tcPr/>
          <w:p>
            <w:pPr>
              <w:pStyle w:val="Compact"/>
              <w:jc w:val="left"/>
            </w:pPr>
            <w:r>
              <w:t xml:space="preserve">Sumter</w:t>
            </w:r>
          </w:p>
        </w:tc>
        <w:tc>
          <w:tcPr/>
          <w:p>
            <w:pPr>
              <w:pStyle w:val="Compact"/>
              <w:jc w:val="right"/>
            </w:pPr>
            <w:r>
              <w:t xml:space="preserve">0.063</w:t>
            </w:r>
          </w:p>
        </w:tc>
        <w:tc>
          <w:tcPr/>
          <w:p>
            <w:pPr>
              <w:pStyle w:val="Compact"/>
              <w:jc w:val="left"/>
            </w:pPr>
            <w:r>
              <w:t xml:space="preserve">Citrus</w:t>
            </w:r>
          </w:p>
        </w:tc>
        <w:tc>
          <w:tcPr/>
          <w:p>
            <w:pPr>
              <w:pStyle w:val="Compact"/>
              <w:jc w:val="right"/>
            </w:pPr>
            <w:r>
              <w:t xml:space="preserve">0.026</w:t>
            </w:r>
          </w:p>
        </w:tc>
      </w:tr>
      <w:tr>
        <w:tc>
          <w:tcPr/>
          <w:p>
            <w:pPr>
              <w:pStyle w:val="Compact"/>
              <w:jc w:val="left"/>
            </w:pPr>
            <w:r>
              <w:t xml:space="preserve">Lake</w:t>
            </w:r>
          </w:p>
        </w:tc>
        <w:tc>
          <w:tcPr/>
          <w:p>
            <w:pPr>
              <w:pStyle w:val="Compact"/>
              <w:jc w:val="right"/>
            </w:pPr>
            <w:r>
              <w:t xml:space="preserve">0.062</w:t>
            </w:r>
          </w:p>
        </w:tc>
        <w:tc>
          <w:tcPr/>
          <w:p>
            <w:pPr>
              <w:pStyle w:val="Compact"/>
              <w:jc w:val="left"/>
            </w:pPr>
            <w:r>
              <w:t xml:space="preserve">Lake</w:t>
            </w:r>
          </w:p>
        </w:tc>
        <w:tc>
          <w:tcPr/>
          <w:p>
            <w:pPr>
              <w:pStyle w:val="Compact"/>
              <w:jc w:val="right"/>
            </w:pPr>
            <w:r>
              <w:t xml:space="preserve">0.021</w:t>
            </w:r>
          </w:p>
        </w:tc>
      </w:tr>
    </w:tbl>
    <w:p>
      <w:pPr>
        <w:pStyle w:val="BodyText"/>
      </w:pPr>
      <w:r>
        <w:rPr>
          <w:b/>
          <w:bCs/>
        </w:rPr>
        <w:t xml:space="preserve">Table 2. The origins of Florida resident anglers fishing in Hernando County, for 2014-2024.</w:t>
      </w:r>
      <w:r>
        <w:br/>
      </w:r>
      <w:r>
        <w:t xml:space="preserve">This table shows where Florida resident anglers come from when they fish Hernando County.</w:t>
      </w:r>
      <w:r>
        <w:t xml:space="preserve"> </w:t>
      </w:r>
      <w:r>
        <w:rPr>
          <w:b/>
          <w:bCs/>
        </w:rPr>
        <w:t xml:space="preserve">Columns 1 &amp; 2</w:t>
      </w:r>
      <w:r>
        <w:rPr>
          <w:b/>
          <w:bCs/>
        </w:rPr>
        <w:t xml:space="preserve"> </w:t>
      </w:r>
      <w:r>
        <w:t xml:space="preserve"> </w:t>
      </w:r>
      <w:r>
        <w:t xml:space="preserve">show origins of trips in Hernando County by anglers who are</w:t>
      </w:r>
      <w:r>
        <w:t xml:space="preserve"> </w:t>
      </w:r>
      <w:r>
        <w:rPr>
          <w:b/>
          <w:bCs/>
        </w:rPr>
        <w:t xml:space="preserve">not</w:t>
      </w:r>
      <w:r>
        <w:t xml:space="preserve"> </w:t>
      </w:r>
      <w:r>
        <w:t xml:space="preserve">residents of Hernando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Hernando County. This information can be used to identifying in-state advertising.</w:t>
      </w:r>
    </w:p>
    <w:p>
      <w:pPr>
        <w:pStyle w:val="BodyText"/>
      </w:pPr>
    </w:p>
    <w:bookmarkEnd w:id="24"/>
    <w:bookmarkEnd w:id="25"/>
    <w:bookmarkStart w:id="27" w:name="what-people-fish-for-in-hernando-county"/>
    <w:p>
      <w:pPr>
        <w:pStyle w:val="Heading3"/>
      </w:pPr>
      <w:r>
        <w:t xml:space="preserve">What people fish for in Hernando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42"/>
        <w:gridCol w:w="448"/>
        <w:gridCol w:w="1270"/>
        <w:gridCol w:w="448"/>
        <w:gridCol w:w="1494"/>
        <w:gridCol w:w="448"/>
        <w:gridCol w:w="1419"/>
        <w:gridCol w:w="448"/>
      </w:tblGrid>
      <w:tr>
        <w:trPr>
          <w:tblHeader w:val="on"/>
        </w:trPr>
        <w:tc>
          <w:tcPr/>
          <w:p>
            <w:pPr>
              <w:pStyle w:val="Compact"/>
              <w:jc w:val="left"/>
            </w:pPr>
            <w:r>
              <w:t xml:space="preserve">All Hernando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0.410</w:t>
            </w:r>
          </w:p>
        </w:tc>
        <w:tc>
          <w:tcPr/>
          <w:p>
            <w:pPr>
              <w:pStyle w:val="Compact"/>
              <w:jc w:val="left"/>
            </w:pPr>
            <w:r>
              <w:t xml:space="preserve">No Target</w:t>
            </w:r>
          </w:p>
        </w:tc>
        <w:tc>
          <w:tcPr/>
          <w:p>
            <w:pPr>
              <w:pStyle w:val="Compact"/>
              <w:jc w:val="right"/>
            </w:pPr>
            <w:r>
              <w:t xml:space="preserve">0.432</w:t>
            </w:r>
          </w:p>
        </w:tc>
        <w:tc>
          <w:tcPr/>
          <w:p>
            <w:pPr>
              <w:pStyle w:val="Compact"/>
              <w:jc w:val="left"/>
            </w:pPr>
            <w:r>
              <w:t xml:space="preserve">No Target</w:t>
            </w:r>
          </w:p>
        </w:tc>
        <w:tc>
          <w:tcPr/>
          <w:p>
            <w:pPr>
              <w:pStyle w:val="Compact"/>
              <w:jc w:val="right"/>
            </w:pPr>
            <w:r>
              <w:t xml:space="preserve">0.374</w:t>
            </w:r>
          </w:p>
        </w:tc>
        <w:tc>
          <w:tcPr/>
          <w:p>
            <w:pPr>
              <w:pStyle w:val="Compact"/>
              <w:jc w:val="left"/>
            </w:pPr>
            <w:r>
              <w:t xml:space="preserve">No Target</w:t>
            </w:r>
          </w:p>
        </w:tc>
        <w:tc>
          <w:tcPr/>
          <w:p>
            <w:pPr>
              <w:pStyle w:val="Compact"/>
              <w:jc w:val="right"/>
            </w:pPr>
            <w:r>
              <w:t xml:space="preserve">0.391</w:t>
            </w:r>
          </w:p>
        </w:tc>
      </w:tr>
      <w:tr>
        <w:tc>
          <w:tcPr/>
          <w:p>
            <w:pPr>
              <w:pStyle w:val="Compact"/>
              <w:jc w:val="left"/>
            </w:pPr>
            <w:r>
              <w:t xml:space="preserve">Red drum</w:t>
            </w:r>
          </w:p>
        </w:tc>
        <w:tc>
          <w:tcPr/>
          <w:p>
            <w:pPr>
              <w:pStyle w:val="Compact"/>
              <w:jc w:val="right"/>
            </w:pPr>
            <w:r>
              <w:t xml:space="preserve">0.133</w:t>
            </w:r>
          </w:p>
        </w:tc>
        <w:tc>
          <w:tcPr/>
          <w:p>
            <w:pPr>
              <w:pStyle w:val="Compact"/>
              <w:jc w:val="left"/>
            </w:pPr>
            <w:r>
              <w:t xml:space="preserve">Red drum</w:t>
            </w:r>
          </w:p>
        </w:tc>
        <w:tc>
          <w:tcPr/>
          <w:p>
            <w:pPr>
              <w:pStyle w:val="Compact"/>
              <w:jc w:val="right"/>
            </w:pPr>
            <w:r>
              <w:t xml:space="preserve">0.139</w:t>
            </w:r>
          </w:p>
        </w:tc>
        <w:tc>
          <w:tcPr/>
          <w:p>
            <w:pPr>
              <w:pStyle w:val="Compact"/>
              <w:jc w:val="left"/>
            </w:pPr>
            <w:r>
              <w:t xml:space="preserve">Gag</w:t>
            </w:r>
          </w:p>
        </w:tc>
        <w:tc>
          <w:tcPr/>
          <w:p>
            <w:pPr>
              <w:pStyle w:val="Compact"/>
              <w:jc w:val="right"/>
            </w:pPr>
            <w:r>
              <w:t xml:space="preserve">0.139</w:t>
            </w:r>
          </w:p>
        </w:tc>
        <w:tc>
          <w:tcPr/>
          <w:p>
            <w:pPr>
              <w:pStyle w:val="Compact"/>
              <w:jc w:val="left"/>
            </w:pPr>
            <w:r>
              <w:t xml:space="preserve">Spotted seatrout</w:t>
            </w:r>
          </w:p>
        </w:tc>
        <w:tc>
          <w:tcPr/>
          <w:p>
            <w:pPr>
              <w:pStyle w:val="Compact"/>
              <w:jc w:val="right"/>
            </w:pPr>
            <w:r>
              <w:t xml:space="preserve">0.147</w:t>
            </w:r>
          </w:p>
        </w:tc>
      </w:tr>
      <w:tr>
        <w:tc>
          <w:tcPr/>
          <w:p>
            <w:pPr>
              <w:pStyle w:val="Compact"/>
              <w:jc w:val="left"/>
            </w:pPr>
            <w:r>
              <w:t xml:space="preserve">Spotted seatrout</w:t>
            </w:r>
          </w:p>
        </w:tc>
        <w:tc>
          <w:tcPr/>
          <w:p>
            <w:pPr>
              <w:pStyle w:val="Compact"/>
              <w:jc w:val="right"/>
            </w:pPr>
            <w:r>
              <w:t xml:space="preserve">0.116</w:t>
            </w:r>
          </w:p>
        </w:tc>
        <w:tc>
          <w:tcPr/>
          <w:p>
            <w:pPr>
              <w:pStyle w:val="Compact"/>
              <w:jc w:val="left"/>
            </w:pPr>
            <w:r>
              <w:t xml:space="preserve">Spotted seatrout</w:t>
            </w:r>
          </w:p>
        </w:tc>
        <w:tc>
          <w:tcPr/>
          <w:p>
            <w:pPr>
              <w:pStyle w:val="Compact"/>
              <w:jc w:val="right"/>
            </w:pPr>
            <w:r>
              <w:t xml:space="preserve">0.131</w:t>
            </w:r>
          </w:p>
        </w:tc>
        <w:tc>
          <w:tcPr/>
          <w:p>
            <w:pPr>
              <w:pStyle w:val="Compact"/>
              <w:jc w:val="left"/>
            </w:pPr>
            <w:r>
              <w:t xml:space="preserve">Red drum</w:t>
            </w:r>
          </w:p>
        </w:tc>
        <w:tc>
          <w:tcPr/>
          <w:p>
            <w:pPr>
              <w:pStyle w:val="Compact"/>
              <w:jc w:val="right"/>
            </w:pPr>
            <w:r>
              <w:t xml:space="preserve">0.122</w:t>
            </w:r>
          </w:p>
        </w:tc>
        <w:tc>
          <w:tcPr/>
          <w:p>
            <w:pPr>
              <w:pStyle w:val="Compact"/>
              <w:jc w:val="left"/>
            </w:pPr>
            <w:r>
              <w:t xml:space="preserve">Red drum</w:t>
            </w:r>
          </w:p>
        </w:tc>
        <w:tc>
          <w:tcPr/>
          <w:p>
            <w:pPr>
              <w:pStyle w:val="Compact"/>
              <w:jc w:val="right"/>
            </w:pPr>
            <w:r>
              <w:t xml:space="preserve">0.130</w:t>
            </w:r>
          </w:p>
        </w:tc>
      </w:tr>
      <w:tr>
        <w:tc>
          <w:tcPr/>
          <w:p>
            <w:pPr>
              <w:pStyle w:val="Compact"/>
              <w:jc w:val="left"/>
            </w:pPr>
            <w:r>
              <w:t xml:space="preserve">Gag</w:t>
            </w:r>
          </w:p>
        </w:tc>
        <w:tc>
          <w:tcPr/>
          <w:p>
            <w:pPr>
              <w:pStyle w:val="Compact"/>
              <w:jc w:val="right"/>
            </w:pPr>
            <w:r>
              <w:t xml:space="preserve">0.108</w:t>
            </w:r>
          </w:p>
        </w:tc>
        <w:tc>
          <w:tcPr/>
          <w:p>
            <w:pPr>
              <w:pStyle w:val="Compact"/>
              <w:jc w:val="left"/>
            </w:pPr>
            <w:r>
              <w:t xml:space="preserve">Gag</w:t>
            </w:r>
          </w:p>
        </w:tc>
        <w:tc>
          <w:tcPr/>
          <w:p>
            <w:pPr>
              <w:pStyle w:val="Compact"/>
              <w:jc w:val="right"/>
            </w:pPr>
            <w:r>
              <w:t xml:space="preserve">0.088</w:t>
            </w:r>
          </w:p>
        </w:tc>
        <w:tc>
          <w:tcPr/>
          <w:p>
            <w:pPr>
              <w:pStyle w:val="Compact"/>
              <w:jc w:val="left"/>
            </w:pPr>
            <w:r>
              <w:t xml:space="preserve">Spotted seatrout</w:t>
            </w:r>
          </w:p>
        </w:tc>
        <w:tc>
          <w:tcPr/>
          <w:p>
            <w:pPr>
              <w:pStyle w:val="Compact"/>
              <w:jc w:val="right"/>
            </w:pPr>
            <w:r>
              <w:t xml:space="preserve">0.090</w:t>
            </w:r>
          </w:p>
        </w:tc>
        <w:tc>
          <w:tcPr/>
          <w:p>
            <w:pPr>
              <w:pStyle w:val="Compact"/>
              <w:jc w:val="left"/>
            </w:pPr>
            <w:r>
              <w:t xml:space="preserve">Gag</w:t>
            </w:r>
          </w:p>
        </w:tc>
        <w:tc>
          <w:tcPr/>
          <w:p>
            <w:pPr>
              <w:pStyle w:val="Compact"/>
              <w:jc w:val="right"/>
            </w:pPr>
            <w:r>
              <w:t xml:space="preserve">0.071</w:t>
            </w:r>
          </w:p>
        </w:tc>
      </w:tr>
      <w:tr>
        <w:tc>
          <w:tcPr/>
          <w:p>
            <w:pPr>
              <w:pStyle w:val="Compact"/>
              <w:jc w:val="left"/>
            </w:pPr>
            <w:r>
              <w:t xml:space="preserve">Mullet genus</w:t>
            </w:r>
          </w:p>
        </w:tc>
        <w:tc>
          <w:tcPr/>
          <w:p>
            <w:pPr>
              <w:pStyle w:val="Compact"/>
              <w:jc w:val="right"/>
            </w:pPr>
            <w:r>
              <w:t xml:space="preserve">0.035</w:t>
            </w:r>
          </w:p>
        </w:tc>
        <w:tc>
          <w:tcPr/>
          <w:p>
            <w:pPr>
              <w:pStyle w:val="Compact"/>
              <w:jc w:val="left"/>
            </w:pPr>
            <w:r>
              <w:t xml:space="preserve">Common snook</w:t>
            </w:r>
          </w:p>
        </w:tc>
        <w:tc>
          <w:tcPr/>
          <w:p>
            <w:pPr>
              <w:pStyle w:val="Compact"/>
              <w:jc w:val="right"/>
            </w:pPr>
            <w:r>
              <w:t xml:space="preserve">0.030</w:t>
            </w:r>
          </w:p>
        </w:tc>
        <w:tc>
          <w:tcPr/>
          <w:p>
            <w:pPr>
              <w:pStyle w:val="Compact"/>
              <w:jc w:val="left"/>
            </w:pPr>
            <w:r>
              <w:t xml:space="preserve">Mullet genus</w:t>
            </w:r>
          </w:p>
        </w:tc>
        <w:tc>
          <w:tcPr/>
          <w:p>
            <w:pPr>
              <w:pStyle w:val="Compact"/>
              <w:jc w:val="right"/>
            </w:pPr>
            <w:r>
              <w:t xml:space="preserve">0.056</w:t>
            </w:r>
          </w:p>
        </w:tc>
        <w:tc>
          <w:tcPr/>
          <w:p>
            <w:pPr>
              <w:pStyle w:val="Compact"/>
              <w:jc w:val="left"/>
            </w:pPr>
            <w:r>
              <w:t xml:space="preserve">Mullet genus</w:t>
            </w:r>
          </w:p>
        </w:tc>
        <w:tc>
          <w:tcPr/>
          <w:p>
            <w:pPr>
              <w:pStyle w:val="Compact"/>
              <w:jc w:val="right"/>
            </w:pPr>
            <w:r>
              <w:t xml:space="preserve">0.060</w:t>
            </w:r>
          </w:p>
        </w:tc>
      </w:tr>
    </w:tbl>
    <w:p>
      <w:pPr>
        <w:pStyle w:val="BodyText"/>
      </w:pPr>
      <w:r>
        <w:rPr>
          <w:b/>
          <w:bCs/>
        </w:rPr>
        <w:t xml:space="preserve">Table 3. Proportions of species targeted by fishing trips made in Hernando County by anglers from various origins, for 2014-2024.</w:t>
      </w:r>
      <w:r>
        <w:br/>
      </w:r>
      <w:r>
        <w:t xml:space="preserve">This table shows the top 5 species anglers fish in Hernando County, depending on where they live.</w:t>
      </w:r>
      <w:r>
        <w:t xml:space="preserve"> </w:t>
      </w:r>
      <w:r>
        <w:rPr>
          <w:b/>
          <w:bCs/>
        </w:rPr>
        <w:t xml:space="preserve">Columns 1-2</w:t>
      </w:r>
      <w:r>
        <w:t xml:space="preserve"> </w:t>
      </w:r>
      <w:r>
        <w:t xml:space="preserve">shows what anglers fish for in Hernando County regardless of where they come from.</w:t>
      </w:r>
      <w:r>
        <w:t xml:space="preserve"> </w:t>
      </w:r>
      <w:r>
        <w:rPr>
          <w:b/>
          <w:bCs/>
        </w:rPr>
        <w:t xml:space="preserve">Columns 3-4</w:t>
      </w:r>
      <w:r>
        <w:t xml:space="preserve"> </w:t>
      </w:r>
      <w:r>
        <w:t xml:space="preserve">shows what Hernando County resident anglers fish for,</w:t>
      </w:r>
      <w:r>
        <w:t xml:space="preserve"> </w:t>
      </w:r>
      <w:r>
        <w:rPr>
          <w:b/>
          <w:bCs/>
        </w:rPr>
        <w:t xml:space="preserve">Columns 5-6</w:t>
      </w:r>
      <w:r>
        <w:t xml:space="preserve"> </w:t>
      </w:r>
      <w:r>
        <w:t xml:space="preserve">shows what anglers who live in Florida but not Hernando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bhallscharf@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bhallscharf@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F2D1FA-2CDC-4D40-BF88-D55BE5D18B91}"/>
</file>

<file path=customXml/itemProps2.xml><?xml version="1.0" encoding="utf-8"?>
<ds:datastoreItem xmlns:ds="http://schemas.openxmlformats.org/officeDocument/2006/customXml" ds:itemID="{A8CEE659-5D2D-4483-9980-DFCE3789ABB9}"/>
</file>

<file path=customXml/itemProps3.xml><?xml version="1.0" encoding="utf-8"?>
<ds:datastoreItem xmlns:ds="http://schemas.openxmlformats.org/officeDocument/2006/customXml" ds:itemID="{DB6219B7-6416-4C1E-ADC4-BCBF6EE4571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Hernando County</dc:title>
  <dc:creator>Prepared for Hernando County by Ed Camp (edvcamp@ufl.edu) Assistant Professor University of Florida, and Brittany Hall-Scharf, Florida Sea Grant Extension Agent Hernando County, bhallscharf@ufl.edu</dc:creator>
  <cp:keywords/>
  <dcterms:created xsi:type="dcterms:W3CDTF">2025-03-13T18:48:50Z</dcterms:created>
  <dcterms:modified xsi:type="dcterms:W3CDTF">2025-03-13T18:48:50Z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