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Hillsborough County</w:t>
      </w:r>
    </w:p>
    <w:p>
      <w:pPr>
        <w:pStyle w:val="Author"/>
      </w:pPr>
      <w:r>
        <w:t xml:space="preserve">Prepared for Hillsborough County by Ed Camp (</w:t>
      </w:r>
      <w:hyperlink r:id="rId20">
        <w:r>
          <w:rPr>
            <w:rStyle w:val="Hyperlink"/>
          </w:rPr>
          <w:t xml:space="preserve">edvcamp@ufl.edu</w:t>
        </w:r>
      </w:hyperlink>
      <w:r>
        <w:t xml:space="preserve">) Assistant Professor University of Florida, and Angela Collins, Florida Sea Grant Extension Agent Manatee and Hillsborough Counties,</w:t>
      </w:r>
      <w:r>
        <w:t xml:space="preserve"> </w:t>
      </w:r>
      <w:hyperlink r:id="rId21">
        <w:r>
          <w:rPr>
            <w:rStyle w:val="Hyperlink"/>
          </w:rPr>
          <w:t xml:space="preserve">abcollins@ufl.edu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Hillsborough County</w:t>
      </w:r>
      <w:r>
        <w:t xml:space="preserve">. The report describes information about where people come from when they fish Hillsborough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Hillsborough County</w:t>
      </w:r>
      <w:r>
        <w:t xml:space="preserve">, which Angela Collins can provide you.</w:t>
      </w:r>
    </w:p>
    <w:p>
      <w:pPr>
        <w:pStyle w:val="BodyText"/>
      </w:pPr>
    </w:p>
    <w:bookmarkEnd w:id="22"/>
    <w:bookmarkStart w:id="25" w:name="Xb794a8471bc223eb4920b3e73bfb51789bf4925"/>
    <w:p>
      <w:pPr>
        <w:pStyle w:val="Heading3"/>
      </w:pPr>
      <w:r>
        <w:t xml:space="preserve">Where people come from to fish Hillsborough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22"/>
        <w:gridCol w:w="572"/>
        <w:gridCol w:w="1813"/>
        <w:gridCol w:w="572"/>
        <w:gridCol w:w="2767"/>
        <w:gridCol w:w="572"/>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Tampa Bay</w:t>
            </w:r>
          </w:p>
        </w:tc>
        <w:tc>
          <w:tcPr/>
          <w:p>
            <w:pPr>
              <w:pStyle w:val="Compact"/>
              <w:jc w:val="right"/>
            </w:pPr>
            <w:r>
              <w:t xml:space="preserve">Prop.</w:t>
            </w:r>
          </w:p>
        </w:tc>
        <w:tc>
          <w:tcPr/>
          <w:p>
            <w:pPr>
              <w:pStyle w:val="Compact"/>
              <w:jc w:val="left"/>
            </w:pPr>
            <w:r>
              <w:t xml:space="preserve">Trips to Hillsborough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0.084</w:t>
            </w:r>
          </w:p>
        </w:tc>
        <w:tc>
          <w:tcPr/>
          <w:p>
            <w:pPr>
              <w:pStyle w:val="Compact"/>
              <w:jc w:val="left"/>
            </w:pPr>
            <w:r>
              <w:t xml:space="preserve">Georgia</w:t>
            </w:r>
          </w:p>
        </w:tc>
        <w:tc>
          <w:tcPr/>
          <w:p>
            <w:pPr>
              <w:pStyle w:val="Compact"/>
              <w:jc w:val="right"/>
            </w:pPr>
            <w:r>
              <w:t xml:space="preserve">0.077</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0.077</w:t>
            </w:r>
          </w:p>
        </w:tc>
        <w:tc>
          <w:tcPr/>
          <w:p>
            <w:pPr>
              <w:pStyle w:val="Compact"/>
              <w:jc w:val="left"/>
            </w:pPr>
            <w:r>
              <w:t xml:space="preserve">Michigan</w:t>
            </w:r>
          </w:p>
        </w:tc>
        <w:tc>
          <w:tcPr/>
          <w:p>
            <w:pPr>
              <w:pStyle w:val="Compact"/>
              <w:jc w:val="right"/>
            </w:pPr>
            <w:r>
              <w:t xml:space="preserve">0.066</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0.071</w:t>
            </w:r>
          </w:p>
        </w:tc>
        <w:tc>
          <w:tcPr/>
          <w:p>
            <w:pPr>
              <w:pStyle w:val="Compact"/>
              <w:jc w:val="left"/>
            </w:pPr>
            <w:r>
              <w:t xml:space="preserve">Not Available</w:t>
            </w:r>
          </w:p>
        </w:tc>
        <w:tc>
          <w:tcPr/>
          <w:p>
            <w:pPr>
              <w:pStyle w:val="Compact"/>
              <w:jc w:val="right"/>
            </w:pPr>
            <w:r>
              <w:t xml:space="preserve">0.065</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0.066</w:t>
            </w:r>
          </w:p>
        </w:tc>
        <w:tc>
          <w:tcPr/>
          <w:p>
            <w:pPr>
              <w:pStyle w:val="Compact"/>
              <w:jc w:val="left"/>
            </w:pPr>
            <w:r>
              <w:t xml:space="preserve">Illinois</w:t>
            </w:r>
          </w:p>
        </w:tc>
        <w:tc>
          <w:tcPr/>
          <w:p>
            <w:pPr>
              <w:pStyle w:val="Compact"/>
              <w:jc w:val="right"/>
            </w:pPr>
            <w:r>
              <w:t xml:space="preserve">0.062</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Ohio</w:t>
            </w:r>
          </w:p>
        </w:tc>
        <w:tc>
          <w:tcPr/>
          <w:p>
            <w:pPr>
              <w:pStyle w:val="Compact"/>
              <w:jc w:val="right"/>
            </w:pPr>
            <w:r>
              <w:t xml:space="preserve">0.058</w:t>
            </w:r>
          </w:p>
        </w:tc>
      </w:tr>
    </w:tbl>
    <w:p>
      <w:pPr>
        <w:pStyle w:val="BodyText"/>
      </w:pPr>
      <w:r>
        <w:rPr>
          <w:b/>
          <w:bCs/>
        </w:rPr>
        <w:t xml:space="preserve">Table 1. The origins of out-of-state angler trips for Florida, the region, and specifically Hillsborough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Hillsborough County. Comparing the columns shows how Hillsborough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Polk</w:t>
            </w:r>
          </w:p>
        </w:tc>
        <w:tc>
          <w:tcPr/>
          <w:p>
            <w:pPr>
              <w:pStyle w:val="Compact"/>
              <w:jc w:val="right"/>
            </w:pPr>
            <w:r>
              <w:t xml:space="preserve">0.444</w:t>
            </w:r>
          </w:p>
        </w:tc>
        <w:tc>
          <w:tcPr/>
          <w:p>
            <w:pPr>
              <w:pStyle w:val="Compact"/>
              <w:jc w:val="left"/>
            </w:pPr>
            <w:r>
              <w:t xml:space="preserve">Hillsborough</w:t>
            </w:r>
          </w:p>
        </w:tc>
        <w:tc>
          <w:tcPr/>
          <w:p>
            <w:pPr>
              <w:pStyle w:val="Compact"/>
              <w:jc w:val="right"/>
            </w:pPr>
            <w:r>
              <w:t xml:space="preserve">0.660</w:t>
            </w:r>
          </w:p>
        </w:tc>
      </w:tr>
      <w:tr>
        <w:tc>
          <w:tcPr/>
          <w:p>
            <w:pPr>
              <w:pStyle w:val="Compact"/>
              <w:jc w:val="left"/>
            </w:pPr>
            <w:r>
              <w:t xml:space="preserve">Pasco</w:t>
            </w:r>
          </w:p>
        </w:tc>
        <w:tc>
          <w:tcPr/>
          <w:p>
            <w:pPr>
              <w:pStyle w:val="Compact"/>
              <w:jc w:val="right"/>
            </w:pPr>
            <w:r>
              <w:t xml:space="preserve">0.191</w:t>
            </w:r>
          </w:p>
        </w:tc>
        <w:tc>
          <w:tcPr/>
          <w:p>
            <w:pPr>
              <w:pStyle w:val="Compact"/>
              <w:jc w:val="left"/>
            </w:pPr>
            <w:r>
              <w:t xml:space="preserve">Polk</w:t>
            </w:r>
          </w:p>
        </w:tc>
        <w:tc>
          <w:tcPr/>
          <w:p>
            <w:pPr>
              <w:pStyle w:val="Compact"/>
              <w:jc w:val="right"/>
            </w:pPr>
            <w:r>
              <w:t xml:space="preserve">0.151</w:t>
            </w:r>
          </w:p>
        </w:tc>
      </w:tr>
      <w:tr>
        <w:tc>
          <w:tcPr/>
          <w:p>
            <w:pPr>
              <w:pStyle w:val="Compact"/>
              <w:jc w:val="left"/>
            </w:pPr>
            <w:r>
              <w:t xml:space="preserve">Pinellas</w:t>
            </w:r>
          </w:p>
        </w:tc>
        <w:tc>
          <w:tcPr/>
          <w:p>
            <w:pPr>
              <w:pStyle w:val="Compact"/>
              <w:jc w:val="right"/>
            </w:pPr>
            <w:r>
              <w:t xml:space="preserve">0.159</w:t>
            </w:r>
          </w:p>
        </w:tc>
        <w:tc>
          <w:tcPr/>
          <w:p>
            <w:pPr>
              <w:pStyle w:val="Compact"/>
              <w:jc w:val="left"/>
            </w:pPr>
            <w:r>
              <w:t xml:space="preserve">Pasco</w:t>
            </w:r>
          </w:p>
        </w:tc>
        <w:tc>
          <w:tcPr/>
          <w:p>
            <w:pPr>
              <w:pStyle w:val="Compact"/>
              <w:jc w:val="right"/>
            </w:pPr>
            <w:r>
              <w:t xml:space="preserve">0.065</w:t>
            </w:r>
          </w:p>
        </w:tc>
      </w:tr>
      <w:tr>
        <w:tc>
          <w:tcPr/>
          <w:p>
            <w:pPr>
              <w:pStyle w:val="Compact"/>
              <w:jc w:val="left"/>
            </w:pPr>
            <w:r>
              <w:t xml:space="preserve">Manatee</w:t>
            </w:r>
          </w:p>
        </w:tc>
        <w:tc>
          <w:tcPr/>
          <w:p>
            <w:pPr>
              <w:pStyle w:val="Compact"/>
              <w:jc w:val="right"/>
            </w:pPr>
            <w:r>
              <w:t xml:space="preserve">0.044</w:t>
            </w:r>
          </w:p>
        </w:tc>
        <w:tc>
          <w:tcPr/>
          <w:p>
            <w:pPr>
              <w:pStyle w:val="Compact"/>
              <w:jc w:val="left"/>
            </w:pPr>
            <w:r>
              <w:t xml:space="preserve">Pinellas</w:t>
            </w:r>
          </w:p>
        </w:tc>
        <w:tc>
          <w:tcPr/>
          <w:p>
            <w:pPr>
              <w:pStyle w:val="Compact"/>
              <w:jc w:val="right"/>
            </w:pPr>
            <w:r>
              <w:t xml:space="preserve">0.054</w:t>
            </w:r>
          </w:p>
        </w:tc>
      </w:tr>
      <w:tr>
        <w:tc>
          <w:tcPr/>
          <w:p>
            <w:pPr>
              <w:pStyle w:val="Compact"/>
              <w:jc w:val="left"/>
            </w:pPr>
            <w:r>
              <w:t xml:space="preserve">Orange</w:t>
            </w:r>
          </w:p>
        </w:tc>
        <w:tc>
          <w:tcPr/>
          <w:p>
            <w:pPr>
              <w:pStyle w:val="Compact"/>
              <w:jc w:val="right"/>
            </w:pPr>
            <w:r>
              <w:t xml:space="preserve">0.019</w:t>
            </w:r>
          </w:p>
        </w:tc>
        <w:tc>
          <w:tcPr/>
          <w:p>
            <w:pPr>
              <w:pStyle w:val="Compact"/>
              <w:jc w:val="left"/>
            </w:pPr>
            <w:r>
              <w:t xml:space="preserve">Manatee</w:t>
            </w:r>
          </w:p>
        </w:tc>
        <w:tc>
          <w:tcPr/>
          <w:p>
            <w:pPr>
              <w:pStyle w:val="Compact"/>
              <w:jc w:val="right"/>
            </w:pPr>
            <w:r>
              <w:t xml:space="preserve">0.015</w:t>
            </w:r>
          </w:p>
        </w:tc>
      </w:tr>
    </w:tbl>
    <w:p>
      <w:pPr>
        <w:pStyle w:val="BodyText"/>
      </w:pPr>
      <w:r>
        <w:rPr>
          <w:b/>
          <w:bCs/>
        </w:rPr>
        <w:t xml:space="preserve">Table 2. The origins of Florida resident anglers fishing in Hillsborough County, for 2014-2024.</w:t>
      </w:r>
      <w:r>
        <w:br/>
      </w:r>
      <w:r>
        <w:t xml:space="preserve">This table shows where Florida resident anglers come from when they fish Hillsborough County.</w:t>
      </w:r>
      <w:r>
        <w:t xml:space="preserve"> </w:t>
      </w:r>
      <w:r>
        <w:rPr>
          <w:b/>
          <w:bCs/>
        </w:rPr>
        <w:t xml:space="preserve">Columns 1 &amp; 2</w:t>
      </w:r>
      <w:r>
        <w:rPr>
          <w:b/>
          <w:bCs/>
        </w:rPr>
        <w:t xml:space="preserve"> </w:t>
      </w:r>
      <w:r>
        <w:t xml:space="preserve"> </w:t>
      </w:r>
      <w:r>
        <w:t xml:space="preserve">show origins of trips in Hillsborough County by anglers who are</w:t>
      </w:r>
      <w:r>
        <w:t xml:space="preserve"> </w:t>
      </w:r>
      <w:r>
        <w:rPr>
          <w:b/>
          <w:bCs/>
        </w:rPr>
        <w:t xml:space="preserve">not</w:t>
      </w:r>
      <w:r>
        <w:t xml:space="preserve"> </w:t>
      </w:r>
      <w:r>
        <w:t xml:space="preserve">residents of Hillsborough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Hillsborough County. This information can be used to identifying in-state advertising.</w:t>
      </w:r>
    </w:p>
    <w:p>
      <w:pPr>
        <w:pStyle w:val="BodyText"/>
      </w:pPr>
    </w:p>
    <w:bookmarkEnd w:id="24"/>
    <w:bookmarkEnd w:id="25"/>
    <w:bookmarkStart w:id="27" w:name="Xff37de1044c94653edb0a774a8c6fa8d8739598"/>
    <w:p>
      <w:pPr>
        <w:pStyle w:val="Heading3"/>
      </w:pPr>
      <w:r>
        <w:t xml:space="preserve">What people fish for in Hillsborough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2160"/>
        <w:gridCol w:w="432"/>
        <w:gridCol w:w="1224"/>
        <w:gridCol w:w="432"/>
        <w:gridCol w:w="1440"/>
        <w:gridCol w:w="432"/>
        <w:gridCol w:w="1368"/>
        <w:gridCol w:w="432"/>
      </w:tblGrid>
      <w:tr>
        <w:trPr>
          <w:tblHeader w:val="on"/>
        </w:trPr>
        <w:tc>
          <w:tcPr/>
          <w:p>
            <w:pPr>
              <w:pStyle w:val="Compact"/>
              <w:jc w:val="left"/>
            </w:pPr>
            <w:r>
              <w:t xml:space="preserve">All Hillsborough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0.402</w:t>
            </w:r>
          </w:p>
        </w:tc>
        <w:tc>
          <w:tcPr/>
          <w:p>
            <w:pPr>
              <w:pStyle w:val="Compact"/>
              <w:jc w:val="left"/>
            </w:pPr>
            <w:r>
              <w:t xml:space="preserve">No Target</w:t>
            </w:r>
          </w:p>
        </w:tc>
        <w:tc>
          <w:tcPr/>
          <w:p>
            <w:pPr>
              <w:pStyle w:val="Compact"/>
              <w:jc w:val="right"/>
            </w:pPr>
            <w:r>
              <w:t xml:space="preserve">0.404</w:t>
            </w:r>
          </w:p>
        </w:tc>
        <w:tc>
          <w:tcPr/>
          <w:p>
            <w:pPr>
              <w:pStyle w:val="Compact"/>
              <w:jc w:val="left"/>
            </w:pPr>
            <w:r>
              <w:t xml:space="preserve">No Target</w:t>
            </w:r>
          </w:p>
        </w:tc>
        <w:tc>
          <w:tcPr/>
          <w:p>
            <w:pPr>
              <w:pStyle w:val="Compact"/>
              <w:jc w:val="right"/>
            </w:pPr>
            <w:r>
              <w:t xml:space="preserve">0.401</w:t>
            </w:r>
          </w:p>
        </w:tc>
        <w:tc>
          <w:tcPr/>
          <w:p>
            <w:pPr>
              <w:pStyle w:val="Compact"/>
              <w:jc w:val="left"/>
            </w:pPr>
            <w:r>
              <w:t xml:space="preserve">No Target</w:t>
            </w:r>
          </w:p>
        </w:tc>
        <w:tc>
          <w:tcPr/>
          <w:p>
            <w:pPr>
              <w:pStyle w:val="Compact"/>
              <w:jc w:val="right"/>
            </w:pPr>
            <w:r>
              <w:t xml:space="preserve">0.458</w:t>
            </w:r>
          </w:p>
        </w:tc>
      </w:tr>
      <w:tr>
        <w:tc>
          <w:tcPr/>
          <w:p>
            <w:pPr>
              <w:pStyle w:val="Compact"/>
              <w:jc w:val="left"/>
            </w:pPr>
            <w:r>
              <w:t xml:space="preserve">Red drum</w:t>
            </w:r>
          </w:p>
        </w:tc>
        <w:tc>
          <w:tcPr/>
          <w:p>
            <w:pPr>
              <w:pStyle w:val="Compact"/>
              <w:jc w:val="right"/>
            </w:pPr>
            <w:r>
              <w:t xml:space="preserve">0.166</w:t>
            </w:r>
          </w:p>
        </w:tc>
        <w:tc>
          <w:tcPr/>
          <w:p>
            <w:pPr>
              <w:pStyle w:val="Compact"/>
              <w:jc w:val="left"/>
            </w:pPr>
            <w:r>
              <w:t xml:space="preserve">Red drum</w:t>
            </w:r>
          </w:p>
        </w:tc>
        <w:tc>
          <w:tcPr/>
          <w:p>
            <w:pPr>
              <w:pStyle w:val="Compact"/>
              <w:jc w:val="right"/>
            </w:pPr>
            <w:r>
              <w:t xml:space="preserve">0.166</w:t>
            </w:r>
          </w:p>
        </w:tc>
        <w:tc>
          <w:tcPr/>
          <w:p>
            <w:pPr>
              <w:pStyle w:val="Compact"/>
              <w:jc w:val="left"/>
            </w:pPr>
            <w:r>
              <w:t xml:space="preserve">Red drum</w:t>
            </w:r>
          </w:p>
        </w:tc>
        <w:tc>
          <w:tcPr/>
          <w:p>
            <w:pPr>
              <w:pStyle w:val="Compact"/>
              <w:jc w:val="right"/>
            </w:pPr>
            <w:r>
              <w:t xml:space="preserve">0.167</w:t>
            </w:r>
          </w:p>
        </w:tc>
        <w:tc>
          <w:tcPr/>
          <w:p>
            <w:pPr>
              <w:pStyle w:val="Compact"/>
              <w:jc w:val="left"/>
            </w:pPr>
            <w:r>
              <w:t xml:space="preserve">Common snook</w:t>
            </w:r>
          </w:p>
        </w:tc>
        <w:tc>
          <w:tcPr/>
          <w:p>
            <w:pPr>
              <w:pStyle w:val="Compact"/>
              <w:jc w:val="right"/>
            </w:pPr>
            <w:r>
              <w:t xml:space="preserve">0.159</w:t>
            </w:r>
          </w:p>
        </w:tc>
      </w:tr>
      <w:tr>
        <w:tc>
          <w:tcPr/>
          <w:p>
            <w:pPr>
              <w:pStyle w:val="Compact"/>
              <w:jc w:val="left"/>
            </w:pPr>
            <w:r>
              <w:t xml:space="preserve">Common snook</w:t>
            </w:r>
          </w:p>
        </w:tc>
        <w:tc>
          <w:tcPr/>
          <w:p>
            <w:pPr>
              <w:pStyle w:val="Compact"/>
              <w:jc w:val="right"/>
            </w:pPr>
            <w:r>
              <w:t xml:space="preserve">0.158</w:t>
            </w:r>
          </w:p>
        </w:tc>
        <w:tc>
          <w:tcPr/>
          <w:p>
            <w:pPr>
              <w:pStyle w:val="Compact"/>
              <w:jc w:val="left"/>
            </w:pPr>
            <w:r>
              <w:t xml:space="preserve">Common snook</w:t>
            </w:r>
          </w:p>
        </w:tc>
        <w:tc>
          <w:tcPr/>
          <w:p>
            <w:pPr>
              <w:pStyle w:val="Compact"/>
              <w:jc w:val="right"/>
            </w:pPr>
            <w:r>
              <w:t xml:space="preserve">0.154</w:t>
            </w:r>
          </w:p>
        </w:tc>
        <w:tc>
          <w:tcPr/>
          <w:p>
            <w:pPr>
              <w:pStyle w:val="Compact"/>
              <w:jc w:val="left"/>
            </w:pPr>
            <w:r>
              <w:t xml:space="preserve">Common snook</w:t>
            </w:r>
          </w:p>
        </w:tc>
        <w:tc>
          <w:tcPr/>
          <w:p>
            <w:pPr>
              <w:pStyle w:val="Compact"/>
              <w:jc w:val="right"/>
            </w:pPr>
            <w:r>
              <w:t xml:space="preserve">0.165</w:t>
            </w:r>
          </w:p>
        </w:tc>
        <w:tc>
          <w:tcPr/>
          <w:p>
            <w:pPr>
              <w:pStyle w:val="Compact"/>
              <w:jc w:val="left"/>
            </w:pPr>
            <w:r>
              <w:t xml:space="preserve">Red drum</w:t>
            </w:r>
          </w:p>
        </w:tc>
        <w:tc>
          <w:tcPr/>
          <w:p>
            <w:pPr>
              <w:pStyle w:val="Compact"/>
              <w:jc w:val="right"/>
            </w:pPr>
            <w:r>
              <w:t xml:space="preserve">0.108</w:t>
            </w:r>
          </w:p>
        </w:tc>
      </w:tr>
      <w:tr>
        <w:tc>
          <w:tcPr/>
          <w:p>
            <w:pPr>
              <w:pStyle w:val="Compact"/>
              <w:jc w:val="left"/>
            </w:pPr>
            <w:r>
              <w:t xml:space="preserve">Spotted seatrout</w:t>
            </w:r>
          </w:p>
        </w:tc>
        <w:tc>
          <w:tcPr/>
          <w:p>
            <w:pPr>
              <w:pStyle w:val="Compact"/>
              <w:jc w:val="right"/>
            </w:pPr>
            <w:r>
              <w:t xml:space="preserve">0.087</w:t>
            </w:r>
          </w:p>
        </w:tc>
        <w:tc>
          <w:tcPr/>
          <w:p>
            <w:pPr>
              <w:pStyle w:val="Compact"/>
              <w:jc w:val="left"/>
            </w:pPr>
            <w:r>
              <w:t xml:space="preserve">Spotted seatrout</w:t>
            </w:r>
          </w:p>
        </w:tc>
        <w:tc>
          <w:tcPr/>
          <w:p>
            <w:pPr>
              <w:pStyle w:val="Compact"/>
              <w:jc w:val="right"/>
            </w:pPr>
            <w:r>
              <w:t xml:space="preserve">0.087</w:t>
            </w:r>
          </w:p>
        </w:tc>
        <w:tc>
          <w:tcPr/>
          <w:p>
            <w:pPr>
              <w:pStyle w:val="Compact"/>
              <w:jc w:val="left"/>
            </w:pPr>
            <w:r>
              <w:t xml:space="preserve">Spotted seatrout</w:t>
            </w:r>
          </w:p>
        </w:tc>
        <w:tc>
          <w:tcPr/>
          <w:p>
            <w:pPr>
              <w:pStyle w:val="Compact"/>
              <w:jc w:val="right"/>
            </w:pPr>
            <w:r>
              <w:t xml:space="preserve">0.086</w:t>
            </w:r>
          </w:p>
        </w:tc>
        <w:tc>
          <w:tcPr/>
          <w:p>
            <w:pPr>
              <w:pStyle w:val="Compact"/>
              <w:jc w:val="left"/>
            </w:pPr>
            <w:r>
              <w:t xml:space="preserve">Spotted seatrout</w:t>
            </w:r>
          </w:p>
        </w:tc>
        <w:tc>
          <w:tcPr/>
          <w:p>
            <w:pPr>
              <w:pStyle w:val="Compact"/>
              <w:jc w:val="right"/>
            </w:pPr>
            <w:r>
              <w:t xml:space="preserve">0.075</w:t>
            </w:r>
          </w:p>
        </w:tc>
      </w:tr>
      <w:tr>
        <w:tc>
          <w:tcPr/>
          <w:p>
            <w:pPr>
              <w:pStyle w:val="Compact"/>
              <w:jc w:val="left"/>
            </w:pPr>
            <w:r>
              <w:t xml:space="preserve">Gray snapper</w:t>
            </w:r>
          </w:p>
        </w:tc>
        <w:tc>
          <w:tcPr/>
          <w:p>
            <w:pPr>
              <w:pStyle w:val="Compact"/>
              <w:jc w:val="right"/>
            </w:pPr>
            <w:r>
              <w:t xml:space="preserve">0.068</w:t>
            </w:r>
          </w:p>
        </w:tc>
        <w:tc>
          <w:tcPr/>
          <w:p>
            <w:pPr>
              <w:pStyle w:val="Compact"/>
              <w:jc w:val="left"/>
            </w:pPr>
            <w:r>
              <w:t xml:space="preserve">Gray snapper</w:t>
            </w:r>
          </w:p>
        </w:tc>
        <w:tc>
          <w:tcPr/>
          <w:p>
            <w:pPr>
              <w:pStyle w:val="Compact"/>
              <w:jc w:val="right"/>
            </w:pPr>
            <w:r>
              <w:t xml:space="preserve">0.073</w:t>
            </w:r>
          </w:p>
        </w:tc>
        <w:tc>
          <w:tcPr/>
          <w:p>
            <w:pPr>
              <w:pStyle w:val="Compact"/>
              <w:jc w:val="left"/>
            </w:pPr>
            <w:r>
              <w:t xml:space="preserve">Gray snapper</w:t>
            </w:r>
          </w:p>
        </w:tc>
        <w:tc>
          <w:tcPr/>
          <w:p>
            <w:pPr>
              <w:pStyle w:val="Compact"/>
              <w:jc w:val="right"/>
            </w:pPr>
            <w:r>
              <w:t xml:space="preserve">0.061</w:t>
            </w:r>
          </w:p>
        </w:tc>
        <w:tc>
          <w:tcPr/>
          <w:p>
            <w:pPr>
              <w:pStyle w:val="Compact"/>
              <w:jc w:val="left"/>
            </w:pPr>
            <w:r>
              <w:t xml:space="preserve">Sheepshead</w:t>
            </w:r>
          </w:p>
        </w:tc>
        <w:tc>
          <w:tcPr/>
          <w:p>
            <w:pPr>
              <w:pStyle w:val="Compact"/>
              <w:jc w:val="right"/>
            </w:pPr>
            <w:r>
              <w:t xml:space="preserve">0.065</w:t>
            </w:r>
          </w:p>
        </w:tc>
      </w:tr>
    </w:tbl>
    <w:p>
      <w:pPr>
        <w:pStyle w:val="BodyText"/>
      </w:pPr>
      <w:r>
        <w:rPr>
          <w:b/>
          <w:bCs/>
        </w:rPr>
        <w:t xml:space="preserve">Table 3. Proportions of species targeted by fishing trips made in Hillsborough County by anglers from various origins, for 2014-2024.</w:t>
      </w:r>
      <w:r>
        <w:br/>
      </w:r>
      <w:r>
        <w:t xml:space="preserve">This table shows the top 5 species anglers fish in Hillsborough County, depending on where they live.</w:t>
      </w:r>
      <w:r>
        <w:t xml:space="preserve"> </w:t>
      </w:r>
      <w:r>
        <w:rPr>
          <w:b/>
          <w:bCs/>
        </w:rPr>
        <w:t xml:space="preserve">Columns 1-2</w:t>
      </w:r>
      <w:r>
        <w:t xml:space="preserve"> </w:t>
      </w:r>
      <w:r>
        <w:t xml:space="preserve">shows what anglers fish for in Hillsborough County regardless of where they come from.</w:t>
      </w:r>
      <w:r>
        <w:t xml:space="preserve"> </w:t>
      </w:r>
      <w:r>
        <w:rPr>
          <w:b/>
          <w:bCs/>
        </w:rPr>
        <w:t xml:space="preserve">Columns 3-4</w:t>
      </w:r>
      <w:r>
        <w:t xml:space="preserve"> </w:t>
      </w:r>
      <w:r>
        <w:t xml:space="preserve">shows what Hillsborough County resident anglers fish for,</w:t>
      </w:r>
      <w:r>
        <w:t xml:space="preserve"> </w:t>
      </w:r>
      <w:r>
        <w:rPr>
          <w:b/>
          <w:bCs/>
        </w:rPr>
        <w:t xml:space="preserve">Columns 5-6</w:t>
      </w:r>
      <w:r>
        <w:t xml:space="preserve"> </w:t>
      </w:r>
      <w:r>
        <w:t xml:space="preserve">shows what anglers who live in Florida but not Hillsborough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collin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3D04CE-5297-4C6F-A2CD-72914D6FFBAD}"/>
</file>

<file path=customXml/itemProps2.xml><?xml version="1.0" encoding="utf-8"?>
<ds:datastoreItem xmlns:ds="http://schemas.openxmlformats.org/officeDocument/2006/customXml" ds:itemID="{C22DB7A6-8CA4-4676-B3CB-B2EBF1984EEB}"/>
</file>

<file path=customXml/itemProps3.xml><?xml version="1.0" encoding="utf-8"?>
<ds:datastoreItem xmlns:ds="http://schemas.openxmlformats.org/officeDocument/2006/customXml" ds:itemID="{03425F61-2DE7-4734-93C2-8E166B04157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Hillsborough County</dc:title>
  <dc:creator>Prepared for Hillsborough County by Ed Camp (edvcamp@ufl.edu) Assistant Professor University of Florida, and Angela Collins, Florida Sea Grant Extension Agent Manatee and Hillsborough Counties, abcollins@ufl.edu</dc:creator>
  <cp:keywords/>
  <dcterms:created xsi:type="dcterms:W3CDTF">2025-03-13T18:49:05Z</dcterms:created>
  <dcterms:modified xsi:type="dcterms:W3CDTF">2025-03-13T18:49:05Z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