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Indian River County</w:t>
      </w:r>
    </w:p>
    <w:p>
      <w:pPr>
        <w:pStyle w:val="Author"/>
      </w:pPr>
      <w:r>
        <w:t xml:space="preserve">Prepared for Indian River County by Ed Camp (</w:t>
      </w:r>
      <w:hyperlink r:id="rId20">
        <w:r>
          <w:rPr>
            <w:rStyle w:val="Hyperlink"/>
          </w:rPr>
          <w:t xml:space="preserve">edvcamp@ufl.edu</w:t>
        </w:r>
      </w:hyperlink>
      <w:r>
        <w:t xml:space="preserve">) Assistant Professor University of Florida, and Lisa Krimsky, Regional Specialized Extension Agent Southeast Florida,</w:t>
      </w:r>
      <w:r>
        <w:t xml:space="preserve"> </w:t>
      </w:r>
      <w:hyperlink r:id="rId21">
        <w:r>
          <w:rPr>
            <w:rStyle w:val="Hyperlink"/>
          </w:rPr>
          <w:t xml:space="preserve">lkrimsky@ufl.edu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Indian River County</w:t>
      </w:r>
      <w:r>
        <w:t xml:space="preserve">. The report describes information about where people come from when they fish Indian River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Indian River County</w:t>
      </w:r>
      <w:r>
        <w:t xml:space="preserve">, which Lisa Krimsky can provide you.</w:t>
      </w:r>
    </w:p>
    <w:p>
      <w:pPr>
        <w:pStyle w:val="BodyText"/>
      </w:pPr>
    </w:p>
    <w:bookmarkEnd w:id="22"/>
    <w:bookmarkStart w:id="25" w:name="X5c79b5d9e18c4305cfd11195d3fa433dc38b871"/>
    <w:p>
      <w:pPr>
        <w:pStyle w:val="Heading3"/>
      </w:pPr>
      <w:r>
        <w:t xml:space="preserve">Where people come from to fish Indian River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512"/>
        <w:gridCol w:w="533"/>
        <w:gridCol w:w="2224"/>
        <w:gridCol w:w="533"/>
        <w:gridCol w:w="2580"/>
        <w:gridCol w:w="533"/>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East Central FL</w:t>
            </w:r>
          </w:p>
        </w:tc>
        <w:tc>
          <w:tcPr/>
          <w:p>
            <w:pPr>
              <w:pStyle w:val="Compact"/>
              <w:jc w:val="right"/>
            </w:pPr>
            <w:r>
              <w:t xml:space="preserve">Prop.</w:t>
            </w:r>
          </w:p>
        </w:tc>
        <w:tc>
          <w:tcPr/>
          <w:p>
            <w:pPr>
              <w:pStyle w:val="Compact"/>
              <w:jc w:val="left"/>
            </w:pPr>
            <w:r>
              <w:t xml:space="preserve">Trips to Indian River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Texas</w:t>
            </w:r>
          </w:p>
        </w:tc>
        <w:tc>
          <w:tcPr/>
          <w:p>
            <w:pPr>
              <w:pStyle w:val="Compact"/>
              <w:jc w:val="right"/>
            </w:pPr>
            <w:r>
              <w:t xml:space="preserve">0.068</w:t>
            </w:r>
          </w:p>
        </w:tc>
        <w:tc>
          <w:tcPr/>
          <w:p>
            <w:pPr>
              <w:pStyle w:val="Compact"/>
              <w:jc w:val="left"/>
            </w:pPr>
            <w:r>
              <w:t xml:space="preserve">New York</w:t>
            </w:r>
          </w:p>
        </w:tc>
        <w:tc>
          <w:tcPr/>
          <w:p>
            <w:pPr>
              <w:pStyle w:val="Compact"/>
              <w:jc w:val="right"/>
            </w:pPr>
            <w:r>
              <w:t xml:space="preserve">0.095</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Michigan</w:t>
            </w:r>
          </w:p>
        </w:tc>
        <w:tc>
          <w:tcPr/>
          <w:p>
            <w:pPr>
              <w:pStyle w:val="Compact"/>
              <w:jc w:val="right"/>
            </w:pPr>
            <w:r>
              <w:t xml:space="preserve">0.066</w:t>
            </w:r>
          </w:p>
        </w:tc>
        <w:tc>
          <w:tcPr/>
          <w:p>
            <w:pPr>
              <w:pStyle w:val="Compact"/>
              <w:jc w:val="left"/>
            </w:pPr>
            <w:r>
              <w:t xml:space="preserve">Michigan</w:t>
            </w:r>
          </w:p>
        </w:tc>
        <w:tc>
          <w:tcPr/>
          <w:p>
            <w:pPr>
              <w:pStyle w:val="Compact"/>
              <w:jc w:val="right"/>
            </w:pPr>
            <w:r>
              <w:t xml:space="preserve">0.081</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Georgia</w:t>
            </w:r>
          </w:p>
        </w:tc>
        <w:tc>
          <w:tcPr/>
          <w:p>
            <w:pPr>
              <w:pStyle w:val="Compact"/>
              <w:jc w:val="right"/>
            </w:pPr>
            <w:r>
              <w:t xml:space="preserve">0.064</w:t>
            </w:r>
          </w:p>
        </w:tc>
        <w:tc>
          <w:tcPr/>
          <w:p>
            <w:pPr>
              <w:pStyle w:val="Compact"/>
              <w:jc w:val="left"/>
            </w:pPr>
            <w:r>
              <w:t xml:space="preserve">Georgia</w:t>
            </w:r>
          </w:p>
        </w:tc>
        <w:tc>
          <w:tcPr/>
          <w:p>
            <w:pPr>
              <w:pStyle w:val="Compact"/>
              <w:jc w:val="right"/>
            </w:pPr>
            <w:r>
              <w:t xml:space="preserve">0.078</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Not Available</w:t>
            </w:r>
          </w:p>
        </w:tc>
        <w:tc>
          <w:tcPr/>
          <w:p>
            <w:pPr>
              <w:pStyle w:val="Compact"/>
              <w:jc w:val="right"/>
            </w:pPr>
            <w:r>
              <w:t xml:space="preserve">0.062</w:t>
            </w:r>
          </w:p>
        </w:tc>
        <w:tc>
          <w:tcPr/>
          <w:p>
            <w:pPr>
              <w:pStyle w:val="Compact"/>
              <w:jc w:val="left"/>
            </w:pPr>
            <w:r>
              <w:t xml:space="preserve">North Carolina</w:t>
            </w:r>
          </w:p>
        </w:tc>
        <w:tc>
          <w:tcPr/>
          <w:p>
            <w:pPr>
              <w:pStyle w:val="Compact"/>
              <w:jc w:val="right"/>
            </w:pPr>
            <w:r>
              <w:t xml:space="preserve">0.071</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Minnesota</w:t>
            </w:r>
          </w:p>
        </w:tc>
        <w:tc>
          <w:tcPr/>
          <w:p>
            <w:pPr>
              <w:pStyle w:val="Compact"/>
              <w:jc w:val="right"/>
            </w:pPr>
            <w:r>
              <w:t xml:space="preserve">0.044</w:t>
            </w:r>
          </w:p>
        </w:tc>
        <w:tc>
          <w:tcPr/>
          <w:p>
            <w:pPr>
              <w:pStyle w:val="Compact"/>
              <w:jc w:val="left"/>
            </w:pPr>
            <w:r>
              <w:t xml:space="preserve">Not Available</w:t>
            </w:r>
          </w:p>
        </w:tc>
        <w:tc>
          <w:tcPr/>
          <w:p>
            <w:pPr>
              <w:pStyle w:val="Compact"/>
              <w:jc w:val="right"/>
            </w:pPr>
            <w:r>
              <w:t xml:space="preserve">0.071</w:t>
            </w:r>
          </w:p>
        </w:tc>
      </w:tr>
    </w:tbl>
    <w:p>
      <w:pPr>
        <w:pStyle w:val="BodyText"/>
      </w:pPr>
      <w:r>
        <w:rPr>
          <w:b/>
          <w:bCs/>
        </w:rPr>
        <w:t xml:space="preserve">Table 1. The origins of out-of-state angler trips for Florida, the region, and specifically Indian River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Indian River County. Comparing the columns shows how Indian River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Brevard</w:t>
            </w:r>
          </w:p>
        </w:tc>
        <w:tc>
          <w:tcPr/>
          <w:p>
            <w:pPr>
              <w:pStyle w:val="Compact"/>
              <w:jc w:val="right"/>
            </w:pPr>
            <w:r>
              <w:t xml:space="preserve">0.569</w:t>
            </w:r>
          </w:p>
        </w:tc>
        <w:tc>
          <w:tcPr/>
          <w:p>
            <w:pPr>
              <w:pStyle w:val="Compact"/>
              <w:jc w:val="left"/>
            </w:pPr>
            <w:r>
              <w:t xml:space="preserve">Indian River</w:t>
            </w:r>
          </w:p>
        </w:tc>
        <w:tc>
          <w:tcPr/>
          <w:p>
            <w:pPr>
              <w:pStyle w:val="Compact"/>
              <w:jc w:val="right"/>
            </w:pPr>
            <w:r>
              <w:t xml:space="preserve">0.505</w:t>
            </w:r>
          </w:p>
        </w:tc>
      </w:tr>
      <w:tr>
        <w:tc>
          <w:tcPr/>
          <w:p>
            <w:pPr>
              <w:pStyle w:val="Compact"/>
              <w:jc w:val="left"/>
            </w:pPr>
            <w:r>
              <w:t xml:space="preserve">Orange</w:t>
            </w:r>
          </w:p>
        </w:tc>
        <w:tc>
          <w:tcPr/>
          <w:p>
            <w:pPr>
              <w:pStyle w:val="Compact"/>
              <w:jc w:val="right"/>
            </w:pPr>
            <w:r>
              <w:t xml:space="preserve">0.088</w:t>
            </w:r>
          </w:p>
        </w:tc>
        <w:tc>
          <w:tcPr/>
          <w:p>
            <w:pPr>
              <w:pStyle w:val="Compact"/>
              <w:jc w:val="left"/>
            </w:pPr>
            <w:r>
              <w:t xml:space="preserve">Brevard</w:t>
            </w:r>
          </w:p>
        </w:tc>
        <w:tc>
          <w:tcPr/>
          <w:p>
            <w:pPr>
              <w:pStyle w:val="Compact"/>
              <w:jc w:val="right"/>
            </w:pPr>
            <w:r>
              <w:t xml:space="preserve">0.282</w:t>
            </w:r>
          </w:p>
        </w:tc>
      </w:tr>
      <w:tr>
        <w:tc>
          <w:tcPr/>
          <w:p>
            <w:pPr>
              <w:pStyle w:val="Compact"/>
              <w:jc w:val="left"/>
            </w:pPr>
            <w:r>
              <w:t xml:space="preserve">Osceola</w:t>
            </w:r>
          </w:p>
        </w:tc>
        <w:tc>
          <w:tcPr/>
          <w:p>
            <w:pPr>
              <w:pStyle w:val="Compact"/>
              <w:jc w:val="right"/>
            </w:pPr>
            <w:r>
              <w:t xml:space="preserve">0.080</w:t>
            </w:r>
          </w:p>
        </w:tc>
        <w:tc>
          <w:tcPr/>
          <w:p>
            <w:pPr>
              <w:pStyle w:val="Compact"/>
              <w:jc w:val="left"/>
            </w:pPr>
            <w:r>
              <w:t xml:space="preserve">Orange</w:t>
            </w:r>
          </w:p>
        </w:tc>
        <w:tc>
          <w:tcPr/>
          <w:p>
            <w:pPr>
              <w:pStyle w:val="Compact"/>
              <w:jc w:val="right"/>
            </w:pPr>
            <w:r>
              <w:t xml:space="preserve">0.044</w:t>
            </w:r>
          </w:p>
        </w:tc>
      </w:tr>
      <w:tr>
        <w:tc>
          <w:tcPr/>
          <w:p>
            <w:pPr>
              <w:pStyle w:val="Compact"/>
              <w:jc w:val="left"/>
            </w:pPr>
            <w:r>
              <w:t xml:space="preserve">St Lucie</w:t>
            </w:r>
          </w:p>
        </w:tc>
        <w:tc>
          <w:tcPr/>
          <w:p>
            <w:pPr>
              <w:pStyle w:val="Compact"/>
              <w:jc w:val="right"/>
            </w:pPr>
            <w:r>
              <w:t xml:space="preserve">0.049</w:t>
            </w:r>
          </w:p>
        </w:tc>
        <w:tc>
          <w:tcPr/>
          <w:p>
            <w:pPr>
              <w:pStyle w:val="Compact"/>
              <w:jc w:val="left"/>
            </w:pPr>
            <w:r>
              <w:t xml:space="preserve">Osceola</w:t>
            </w:r>
          </w:p>
        </w:tc>
        <w:tc>
          <w:tcPr/>
          <w:p>
            <w:pPr>
              <w:pStyle w:val="Compact"/>
              <w:jc w:val="right"/>
            </w:pPr>
            <w:r>
              <w:t xml:space="preserve">0.040</w:t>
            </w:r>
          </w:p>
        </w:tc>
      </w:tr>
      <w:tr>
        <w:tc>
          <w:tcPr/>
          <w:p>
            <w:pPr>
              <w:pStyle w:val="Compact"/>
              <w:jc w:val="left"/>
            </w:pPr>
            <w:r>
              <w:t xml:space="preserve">Polk</w:t>
            </w:r>
          </w:p>
        </w:tc>
        <w:tc>
          <w:tcPr/>
          <w:p>
            <w:pPr>
              <w:pStyle w:val="Compact"/>
              <w:jc w:val="right"/>
            </w:pPr>
            <w:r>
              <w:t xml:space="preserve">0.036</w:t>
            </w:r>
          </w:p>
        </w:tc>
        <w:tc>
          <w:tcPr/>
          <w:p>
            <w:pPr>
              <w:pStyle w:val="Compact"/>
              <w:jc w:val="left"/>
            </w:pPr>
            <w:r>
              <w:t xml:space="preserve">St Lucie</w:t>
            </w:r>
          </w:p>
        </w:tc>
        <w:tc>
          <w:tcPr/>
          <w:p>
            <w:pPr>
              <w:pStyle w:val="Compact"/>
              <w:jc w:val="right"/>
            </w:pPr>
            <w:r>
              <w:t xml:space="preserve">0.024</w:t>
            </w:r>
          </w:p>
        </w:tc>
      </w:tr>
    </w:tbl>
    <w:p>
      <w:pPr>
        <w:pStyle w:val="BodyText"/>
      </w:pPr>
      <w:r>
        <w:rPr>
          <w:b/>
          <w:bCs/>
        </w:rPr>
        <w:t xml:space="preserve">Table 2. The origins of Florida resident anglers fishing in Indian River County, for 2014-2024.</w:t>
      </w:r>
      <w:r>
        <w:br/>
      </w:r>
      <w:r>
        <w:t xml:space="preserve">This table shows where Florida resident anglers come from when they fish Indian River County.</w:t>
      </w:r>
      <w:r>
        <w:t xml:space="preserve"> </w:t>
      </w:r>
      <w:r>
        <w:rPr>
          <w:b/>
          <w:bCs/>
        </w:rPr>
        <w:t xml:space="preserve">Columns 1 &amp; 2</w:t>
      </w:r>
      <w:r>
        <w:rPr>
          <w:b/>
          <w:bCs/>
        </w:rPr>
        <w:t xml:space="preserve"> </w:t>
      </w:r>
      <w:r>
        <w:t xml:space="preserve"> </w:t>
      </w:r>
      <w:r>
        <w:t xml:space="preserve">show origins of trips in Indian River County by anglers who are</w:t>
      </w:r>
      <w:r>
        <w:t xml:space="preserve"> </w:t>
      </w:r>
      <w:r>
        <w:rPr>
          <w:b/>
          <w:bCs/>
        </w:rPr>
        <w:t xml:space="preserve">not</w:t>
      </w:r>
      <w:r>
        <w:t xml:space="preserve"> </w:t>
      </w:r>
      <w:r>
        <w:t xml:space="preserve">residents of Indian River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Indian River County. This information can be used to identifying in-state advertising.</w:t>
      </w:r>
    </w:p>
    <w:p>
      <w:pPr>
        <w:pStyle w:val="BodyText"/>
      </w:pPr>
    </w:p>
    <w:bookmarkEnd w:id="24"/>
    <w:bookmarkEnd w:id="25"/>
    <w:bookmarkStart w:id="27" w:name="X2638e23846a3f238ff285a8da13a9461dafc1f1"/>
    <w:p>
      <w:pPr>
        <w:pStyle w:val="Heading3"/>
      </w:pPr>
      <w:r>
        <w:t xml:space="preserve">What people fish for in Indian River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2102"/>
        <w:gridCol w:w="420"/>
        <w:gridCol w:w="1121"/>
        <w:gridCol w:w="420"/>
        <w:gridCol w:w="1401"/>
        <w:gridCol w:w="420"/>
        <w:gridCol w:w="1612"/>
        <w:gridCol w:w="420"/>
      </w:tblGrid>
      <w:tr>
        <w:trPr>
          <w:tblHeader w:val="on"/>
        </w:trPr>
        <w:tc>
          <w:tcPr/>
          <w:p>
            <w:pPr>
              <w:pStyle w:val="Compact"/>
              <w:jc w:val="left"/>
            </w:pPr>
            <w:r>
              <w:t xml:space="preserve">All Indian River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0.573</w:t>
            </w:r>
          </w:p>
        </w:tc>
        <w:tc>
          <w:tcPr/>
          <w:p>
            <w:pPr>
              <w:pStyle w:val="Compact"/>
              <w:jc w:val="left"/>
            </w:pPr>
            <w:r>
              <w:t xml:space="preserve">No Target</w:t>
            </w:r>
          </w:p>
        </w:tc>
        <w:tc>
          <w:tcPr/>
          <w:p>
            <w:pPr>
              <w:pStyle w:val="Compact"/>
              <w:jc w:val="right"/>
            </w:pPr>
            <w:r>
              <w:t xml:space="preserve">0.589</w:t>
            </w:r>
          </w:p>
        </w:tc>
        <w:tc>
          <w:tcPr/>
          <w:p>
            <w:pPr>
              <w:pStyle w:val="Compact"/>
              <w:jc w:val="left"/>
            </w:pPr>
            <w:r>
              <w:t xml:space="preserve">No Target</w:t>
            </w:r>
          </w:p>
        </w:tc>
        <w:tc>
          <w:tcPr/>
          <w:p>
            <w:pPr>
              <w:pStyle w:val="Compact"/>
              <w:jc w:val="right"/>
            </w:pPr>
            <w:r>
              <w:t xml:space="preserve">0.562</w:t>
            </w:r>
          </w:p>
        </w:tc>
        <w:tc>
          <w:tcPr/>
          <w:p>
            <w:pPr>
              <w:pStyle w:val="Compact"/>
              <w:jc w:val="left"/>
            </w:pPr>
            <w:r>
              <w:t xml:space="preserve">No Target</w:t>
            </w:r>
          </w:p>
        </w:tc>
        <w:tc>
          <w:tcPr/>
          <w:p>
            <w:pPr>
              <w:pStyle w:val="Compact"/>
              <w:jc w:val="right"/>
            </w:pPr>
            <w:r>
              <w:t xml:space="preserve">0.705</w:t>
            </w:r>
          </w:p>
        </w:tc>
      </w:tr>
      <w:tr>
        <w:tc>
          <w:tcPr/>
          <w:p>
            <w:pPr>
              <w:pStyle w:val="Compact"/>
              <w:jc w:val="left"/>
            </w:pPr>
            <w:r>
              <w:t xml:space="preserve">Common snook</w:t>
            </w:r>
          </w:p>
        </w:tc>
        <w:tc>
          <w:tcPr/>
          <w:p>
            <w:pPr>
              <w:pStyle w:val="Compact"/>
              <w:jc w:val="right"/>
            </w:pPr>
            <w:r>
              <w:t xml:space="preserve">0.101</w:t>
            </w:r>
          </w:p>
        </w:tc>
        <w:tc>
          <w:tcPr/>
          <w:p>
            <w:pPr>
              <w:pStyle w:val="Compact"/>
              <w:jc w:val="left"/>
            </w:pPr>
            <w:r>
              <w:t xml:space="preserve">Common snook</w:t>
            </w:r>
          </w:p>
        </w:tc>
        <w:tc>
          <w:tcPr/>
          <w:p>
            <w:pPr>
              <w:pStyle w:val="Compact"/>
              <w:jc w:val="right"/>
            </w:pPr>
            <w:r>
              <w:t xml:space="preserve">0.090</w:t>
            </w:r>
          </w:p>
        </w:tc>
        <w:tc>
          <w:tcPr/>
          <w:p>
            <w:pPr>
              <w:pStyle w:val="Compact"/>
              <w:jc w:val="left"/>
            </w:pPr>
            <w:r>
              <w:t xml:space="preserve">Common snook</w:t>
            </w:r>
          </w:p>
        </w:tc>
        <w:tc>
          <w:tcPr/>
          <w:p>
            <w:pPr>
              <w:pStyle w:val="Compact"/>
              <w:jc w:val="right"/>
            </w:pPr>
            <w:r>
              <w:t xml:space="preserve">0.109</w:t>
            </w:r>
          </w:p>
        </w:tc>
        <w:tc>
          <w:tcPr/>
          <w:p>
            <w:pPr>
              <w:pStyle w:val="Compact"/>
              <w:jc w:val="left"/>
            </w:pPr>
            <w:r>
              <w:t xml:space="preserve">Common snook</w:t>
            </w:r>
          </w:p>
        </w:tc>
        <w:tc>
          <w:tcPr/>
          <w:p>
            <w:pPr>
              <w:pStyle w:val="Compact"/>
              <w:jc w:val="right"/>
            </w:pPr>
            <w:r>
              <w:t xml:space="preserve">0.071</w:t>
            </w:r>
          </w:p>
        </w:tc>
      </w:tr>
      <w:tr>
        <w:tc>
          <w:tcPr/>
          <w:p>
            <w:pPr>
              <w:pStyle w:val="Compact"/>
              <w:jc w:val="left"/>
            </w:pPr>
            <w:r>
              <w:t xml:space="preserve">Dolphin</w:t>
            </w:r>
          </w:p>
        </w:tc>
        <w:tc>
          <w:tcPr/>
          <w:p>
            <w:pPr>
              <w:pStyle w:val="Compact"/>
              <w:jc w:val="right"/>
            </w:pPr>
            <w:r>
              <w:t xml:space="preserve">0.055</w:t>
            </w:r>
          </w:p>
        </w:tc>
        <w:tc>
          <w:tcPr/>
          <w:p>
            <w:pPr>
              <w:pStyle w:val="Compact"/>
              <w:jc w:val="left"/>
            </w:pPr>
            <w:r>
              <w:t xml:space="preserve">Gray snapper</w:t>
            </w:r>
          </w:p>
        </w:tc>
        <w:tc>
          <w:tcPr/>
          <w:p>
            <w:pPr>
              <w:pStyle w:val="Compact"/>
              <w:jc w:val="right"/>
            </w:pPr>
            <w:r>
              <w:t xml:space="preserve">0.059</w:t>
            </w:r>
          </w:p>
        </w:tc>
        <w:tc>
          <w:tcPr/>
          <w:p>
            <w:pPr>
              <w:pStyle w:val="Compact"/>
              <w:jc w:val="left"/>
            </w:pPr>
            <w:r>
              <w:t xml:space="preserve">Dolphin</w:t>
            </w:r>
          </w:p>
        </w:tc>
        <w:tc>
          <w:tcPr/>
          <w:p>
            <w:pPr>
              <w:pStyle w:val="Compact"/>
              <w:jc w:val="right"/>
            </w:pPr>
            <w:r>
              <w:t xml:space="preserve">0.071</w:t>
            </w:r>
          </w:p>
        </w:tc>
        <w:tc>
          <w:tcPr/>
          <w:p>
            <w:pPr>
              <w:pStyle w:val="Compact"/>
              <w:jc w:val="left"/>
            </w:pPr>
            <w:r>
              <w:t xml:space="preserve">Lefteye flounder genus</w:t>
            </w:r>
          </w:p>
        </w:tc>
        <w:tc>
          <w:tcPr/>
          <w:p>
            <w:pPr>
              <w:pStyle w:val="Compact"/>
              <w:jc w:val="right"/>
            </w:pPr>
            <w:r>
              <w:t xml:space="preserve">0.024</w:t>
            </w:r>
          </w:p>
        </w:tc>
      </w:tr>
      <w:tr>
        <w:tc>
          <w:tcPr/>
          <w:p>
            <w:pPr>
              <w:pStyle w:val="Compact"/>
              <w:jc w:val="left"/>
            </w:pPr>
            <w:r>
              <w:t xml:space="preserve">Gray snapper</w:t>
            </w:r>
          </w:p>
        </w:tc>
        <w:tc>
          <w:tcPr/>
          <w:p>
            <w:pPr>
              <w:pStyle w:val="Compact"/>
              <w:jc w:val="right"/>
            </w:pPr>
            <w:r>
              <w:t xml:space="preserve">0.040</w:t>
            </w:r>
          </w:p>
        </w:tc>
        <w:tc>
          <w:tcPr/>
          <w:p>
            <w:pPr>
              <w:pStyle w:val="Compact"/>
              <w:jc w:val="left"/>
            </w:pPr>
            <w:r>
              <w:t xml:space="preserve">Dolphin</w:t>
            </w:r>
          </w:p>
        </w:tc>
        <w:tc>
          <w:tcPr/>
          <w:p>
            <w:pPr>
              <w:pStyle w:val="Compact"/>
              <w:jc w:val="right"/>
            </w:pPr>
            <w:r>
              <w:t xml:space="preserve">0.035</w:t>
            </w:r>
          </w:p>
        </w:tc>
        <w:tc>
          <w:tcPr/>
          <w:p>
            <w:pPr>
              <w:pStyle w:val="Compact"/>
              <w:jc w:val="left"/>
            </w:pPr>
            <w:r>
              <w:t xml:space="preserve">Red drum</w:t>
            </w:r>
          </w:p>
        </w:tc>
        <w:tc>
          <w:tcPr/>
          <w:p>
            <w:pPr>
              <w:pStyle w:val="Compact"/>
              <w:jc w:val="right"/>
            </w:pPr>
            <w:r>
              <w:t xml:space="preserve">0.036</w:t>
            </w:r>
          </w:p>
        </w:tc>
        <w:tc>
          <w:tcPr/>
          <w:p>
            <w:pPr>
              <w:pStyle w:val="Compact"/>
              <w:jc w:val="left"/>
            </w:pPr>
            <w:r>
              <w:t xml:space="preserve">Sheepshead</w:t>
            </w:r>
          </w:p>
        </w:tc>
        <w:tc>
          <w:tcPr/>
          <w:p>
            <w:pPr>
              <w:pStyle w:val="Compact"/>
              <w:jc w:val="right"/>
            </w:pPr>
            <w:r>
              <w:t xml:space="preserve">0.022</w:t>
            </w:r>
          </w:p>
        </w:tc>
      </w:tr>
      <w:tr>
        <w:tc>
          <w:tcPr/>
          <w:p>
            <w:pPr>
              <w:pStyle w:val="Compact"/>
              <w:jc w:val="left"/>
            </w:pPr>
            <w:r>
              <w:t xml:space="preserve">Red drum</w:t>
            </w:r>
          </w:p>
        </w:tc>
        <w:tc>
          <w:tcPr/>
          <w:p>
            <w:pPr>
              <w:pStyle w:val="Compact"/>
              <w:jc w:val="right"/>
            </w:pPr>
            <w:r>
              <w:t xml:space="preserve">0.035</w:t>
            </w:r>
          </w:p>
        </w:tc>
        <w:tc>
          <w:tcPr/>
          <w:p>
            <w:pPr>
              <w:pStyle w:val="Compact"/>
              <w:jc w:val="left"/>
            </w:pPr>
            <w:r>
              <w:t xml:space="preserve">Red drum</w:t>
            </w:r>
          </w:p>
        </w:tc>
        <w:tc>
          <w:tcPr/>
          <w:p>
            <w:pPr>
              <w:pStyle w:val="Compact"/>
              <w:jc w:val="right"/>
            </w:pPr>
            <w:r>
              <w:t xml:space="preserve">0.034</w:t>
            </w:r>
          </w:p>
        </w:tc>
        <w:tc>
          <w:tcPr/>
          <w:p>
            <w:pPr>
              <w:pStyle w:val="Compact"/>
              <w:jc w:val="left"/>
            </w:pPr>
            <w:r>
              <w:t xml:space="preserve">Gray snapper</w:t>
            </w:r>
          </w:p>
        </w:tc>
        <w:tc>
          <w:tcPr/>
          <w:p>
            <w:pPr>
              <w:pStyle w:val="Compact"/>
              <w:jc w:val="right"/>
            </w:pPr>
            <w:r>
              <w:t xml:space="preserve">0.025</w:t>
            </w:r>
          </w:p>
        </w:tc>
        <w:tc>
          <w:tcPr/>
          <w:p>
            <w:pPr>
              <w:pStyle w:val="Compact"/>
              <w:jc w:val="left"/>
            </w:pPr>
            <w:r>
              <w:t xml:space="preserve">Dolphin</w:t>
            </w:r>
          </w:p>
        </w:tc>
        <w:tc>
          <w:tcPr/>
          <w:p>
            <w:pPr>
              <w:pStyle w:val="Compact"/>
              <w:jc w:val="right"/>
            </w:pPr>
            <w:r>
              <w:t xml:space="preserve">0.019</w:t>
            </w:r>
          </w:p>
        </w:tc>
      </w:tr>
    </w:tbl>
    <w:p>
      <w:pPr>
        <w:pStyle w:val="BodyText"/>
      </w:pPr>
      <w:r>
        <w:rPr>
          <w:b/>
          <w:bCs/>
        </w:rPr>
        <w:t xml:space="preserve">Table 3. Proportions of species targeted by fishing trips made in Indian River County by anglers from various origins, for 2014-2024.</w:t>
      </w:r>
      <w:r>
        <w:br/>
      </w:r>
      <w:r>
        <w:t xml:space="preserve">This table shows the top 5 species anglers fish in Indian River County, depending on where they live.</w:t>
      </w:r>
      <w:r>
        <w:t xml:space="preserve"> </w:t>
      </w:r>
      <w:r>
        <w:rPr>
          <w:b/>
          <w:bCs/>
        </w:rPr>
        <w:t xml:space="preserve">Columns 1-2</w:t>
      </w:r>
      <w:r>
        <w:t xml:space="preserve"> </w:t>
      </w:r>
      <w:r>
        <w:t xml:space="preserve">shows what anglers fish for in Indian River County regardless of where they come from.</w:t>
      </w:r>
      <w:r>
        <w:t xml:space="preserve"> </w:t>
      </w:r>
      <w:r>
        <w:rPr>
          <w:b/>
          <w:bCs/>
        </w:rPr>
        <w:t xml:space="preserve">Columns 3-4</w:t>
      </w:r>
      <w:r>
        <w:t xml:space="preserve"> </w:t>
      </w:r>
      <w:r>
        <w:t xml:space="preserve">shows what Indian River County resident anglers fish for,</w:t>
      </w:r>
      <w:r>
        <w:t xml:space="preserve"> </w:t>
      </w:r>
      <w:r>
        <w:rPr>
          <w:b/>
          <w:bCs/>
        </w:rPr>
        <w:t xml:space="preserve">Columns 5-6</w:t>
      </w:r>
      <w:r>
        <w:t xml:space="preserve"> </w:t>
      </w:r>
      <w:r>
        <w:t xml:space="preserve">shows what anglers who live in Florida but not Indian River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lkrimsk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lkrimsk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C42424-9B53-416D-AACF-76E35C5339F5}"/>
</file>

<file path=customXml/itemProps2.xml><?xml version="1.0" encoding="utf-8"?>
<ds:datastoreItem xmlns:ds="http://schemas.openxmlformats.org/officeDocument/2006/customXml" ds:itemID="{7B10527E-087C-428C-9D83-B10A99103C7C}"/>
</file>

<file path=customXml/itemProps3.xml><?xml version="1.0" encoding="utf-8"?>
<ds:datastoreItem xmlns:ds="http://schemas.openxmlformats.org/officeDocument/2006/customXml" ds:itemID="{7397ADF2-89D6-44BB-A55B-AE6E9929D43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Indian River County</dc:title>
  <dc:creator>Prepared for Indian River County by Ed Camp (edvcamp@ufl.edu) Assistant Professor University of Florida, and Lisa Krimsky, Regional Specialized Extension Agent Southeast Florida, lkrimsky@ufl.edu</dc:creator>
  <cp:keywords/>
  <dcterms:created xsi:type="dcterms:W3CDTF">2025-03-13T18:49:22Z</dcterms:created>
  <dcterms:modified xsi:type="dcterms:W3CDTF">2025-03-13T18:49:22Z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