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Levy County</w:t>
      </w:r>
    </w:p>
    <w:p>
      <w:pPr>
        <w:pStyle w:val="Author"/>
      </w:pPr>
      <w:r>
        <w:t xml:space="preserve">Prepared for Levy County by Ed Camp (</w:t>
      </w:r>
      <w:hyperlink r:id="rId20">
        <w:r>
          <w:rPr>
            <w:rStyle w:val="Hyperlink"/>
          </w:rPr>
          <w:t xml:space="preserve">edvcamp@ufl.edu</w:t>
        </w:r>
      </w:hyperlink>
      <w:r>
        <w:t xml:space="preserve">) Assistant Professor University of Florida, and 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Levy County</w:t>
      </w:r>
      <w:r>
        <w:t xml:space="preserve">. The report describes information about where people come from when they fish Levy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Levy County</w:t>
      </w:r>
      <w:r>
        <w:t xml:space="preserve">, which Savanna Barry can provide you.</w:t>
      </w:r>
    </w:p>
    <w:p>
      <w:pPr>
        <w:pStyle w:val="BodyText"/>
      </w:pPr>
    </w:p>
    <w:bookmarkEnd w:id="22"/>
    <w:bookmarkStart w:id="25" w:name="Xb581142e25f057c551b7647322a81021deebefd"/>
    <w:p>
      <w:pPr>
        <w:pStyle w:val="Heading3"/>
      </w:pPr>
      <w:r>
        <w:t xml:space="preserve">Where people come from to fish Levy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819"/>
        <w:gridCol w:w="642"/>
        <w:gridCol w:w="1926"/>
        <w:gridCol w:w="642"/>
        <w:gridCol w:w="2247"/>
        <w:gridCol w:w="642"/>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Big Bend</w:t>
            </w:r>
          </w:p>
        </w:tc>
        <w:tc>
          <w:tcPr/>
          <w:p>
            <w:pPr>
              <w:pStyle w:val="Compact"/>
              <w:jc w:val="right"/>
            </w:pPr>
            <w:r>
              <w:t xml:space="preserve">Prop.</w:t>
            </w:r>
          </w:p>
        </w:tc>
        <w:tc>
          <w:tcPr/>
          <w:p>
            <w:pPr>
              <w:pStyle w:val="Compact"/>
              <w:jc w:val="left"/>
            </w:pPr>
            <w:r>
              <w:t xml:space="preserve">Trips to Levy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0.159</w:t>
            </w:r>
          </w:p>
        </w:tc>
        <w:tc>
          <w:tcPr/>
          <w:p>
            <w:pPr>
              <w:pStyle w:val="Compact"/>
              <w:jc w:val="left"/>
            </w:pPr>
            <w:r>
              <w:t xml:space="preserve">Georgia</w:t>
            </w:r>
          </w:p>
        </w:tc>
        <w:tc>
          <w:tcPr/>
          <w:p>
            <w:pPr>
              <w:pStyle w:val="Compact"/>
              <w:jc w:val="right"/>
            </w:pPr>
            <w:r>
              <w:t xml:space="preserve">0.196</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0.081</w:t>
            </w:r>
          </w:p>
        </w:tc>
        <w:tc>
          <w:tcPr/>
          <w:p>
            <w:pPr>
              <w:pStyle w:val="Compact"/>
              <w:jc w:val="left"/>
            </w:pPr>
            <w:r>
              <w:t xml:space="preserve">Illinois</w:t>
            </w:r>
          </w:p>
        </w:tc>
        <w:tc>
          <w:tcPr/>
          <w:p>
            <w:pPr>
              <w:pStyle w:val="Compact"/>
              <w:jc w:val="right"/>
            </w:pPr>
            <w:r>
              <w:t xml:space="preserve">0.084</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0.074</w:t>
            </w:r>
          </w:p>
        </w:tc>
        <w:tc>
          <w:tcPr/>
          <w:p>
            <w:pPr>
              <w:pStyle w:val="Compact"/>
              <w:jc w:val="left"/>
            </w:pPr>
            <w:r>
              <w:t xml:space="preserve">Michigan</w:t>
            </w:r>
          </w:p>
        </w:tc>
        <w:tc>
          <w:tcPr/>
          <w:p>
            <w:pPr>
              <w:pStyle w:val="Compact"/>
              <w:jc w:val="right"/>
            </w:pPr>
            <w:r>
              <w:t xml:space="preserve">0.084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Pennsylvania</w:t>
            </w:r>
          </w:p>
        </w:tc>
        <w:tc>
          <w:tcPr/>
          <w:p>
            <w:pPr>
              <w:pStyle w:val="Compact"/>
              <w:jc w:val="right"/>
            </w:pPr>
            <w:r>
              <w:t xml:space="preserve">0.053</w:t>
            </w:r>
          </w:p>
        </w:tc>
        <w:tc>
          <w:tcPr/>
          <w:p>
            <w:pPr>
              <w:pStyle w:val="Compact"/>
              <w:jc w:val="left"/>
            </w:pPr>
            <w:r>
              <w:t xml:space="preserve">North Carolina</w:t>
            </w:r>
          </w:p>
        </w:tc>
        <w:tc>
          <w:tcPr/>
          <w:p>
            <w:pPr>
              <w:pStyle w:val="Compact"/>
              <w:jc w:val="right"/>
            </w:pPr>
            <w:r>
              <w:t xml:space="preserve">0.064</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New York</w:t>
            </w:r>
          </w:p>
        </w:tc>
        <w:tc>
          <w:tcPr/>
          <w:p>
            <w:pPr>
              <w:pStyle w:val="Compact"/>
              <w:jc w:val="right"/>
            </w:pPr>
            <w:r>
              <w:t xml:space="preserve">0.052</w:t>
            </w:r>
          </w:p>
        </w:tc>
        <w:tc>
          <w:tcPr/>
          <w:p>
            <w:pPr>
              <w:pStyle w:val="Compact"/>
              <w:jc w:val="left"/>
            </w:pPr>
            <w:r>
              <w:t xml:space="preserve">Ohio</w:t>
            </w:r>
          </w:p>
        </w:tc>
        <w:tc>
          <w:tcPr/>
          <w:p>
            <w:pPr>
              <w:pStyle w:val="Compact"/>
              <w:jc w:val="right"/>
            </w:pPr>
            <w:r>
              <w:t xml:space="preserve">0.064</w:t>
            </w:r>
          </w:p>
        </w:tc>
      </w:tr>
    </w:tbl>
    <w:p>
      <w:pPr>
        <w:pStyle w:val="BodyText"/>
      </w:pPr>
      <w:r>
        <w:rPr>
          <w:b/>
          <w:bCs/>
        </w:rPr>
        <w:t xml:space="preserve">Table 1. The origins of out-of-state angler trips for Florida, the region, and specifically Levy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Levy County. Comparing the columns shows how Levy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Alachua</w:t>
            </w:r>
          </w:p>
        </w:tc>
        <w:tc>
          <w:tcPr/>
          <w:p>
            <w:pPr>
              <w:pStyle w:val="Compact"/>
              <w:jc w:val="right"/>
            </w:pPr>
            <w:r>
              <w:t xml:space="preserve">0.319</w:t>
            </w:r>
          </w:p>
        </w:tc>
        <w:tc>
          <w:tcPr/>
          <w:p>
            <w:pPr>
              <w:pStyle w:val="Compact"/>
              <w:jc w:val="left"/>
            </w:pPr>
            <w:r>
              <w:t xml:space="preserve">Levy</w:t>
            </w:r>
          </w:p>
        </w:tc>
        <w:tc>
          <w:tcPr/>
          <w:p>
            <w:pPr>
              <w:pStyle w:val="Compact"/>
              <w:jc w:val="right"/>
            </w:pPr>
            <w:r>
              <w:t xml:space="preserve">0.248</w:t>
            </w:r>
          </w:p>
        </w:tc>
      </w:tr>
      <w:tr>
        <w:tc>
          <w:tcPr/>
          <w:p>
            <w:pPr>
              <w:pStyle w:val="Compact"/>
              <w:jc w:val="left"/>
            </w:pPr>
            <w:r>
              <w:t xml:space="preserve">Marion</w:t>
            </w:r>
          </w:p>
        </w:tc>
        <w:tc>
          <w:tcPr/>
          <w:p>
            <w:pPr>
              <w:pStyle w:val="Compact"/>
              <w:jc w:val="right"/>
            </w:pPr>
            <w:r>
              <w:t xml:space="preserve">0.305</w:t>
            </w:r>
          </w:p>
        </w:tc>
        <w:tc>
          <w:tcPr/>
          <w:p>
            <w:pPr>
              <w:pStyle w:val="Compact"/>
              <w:jc w:val="left"/>
            </w:pPr>
            <w:r>
              <w:t xml:space="preserve">Alachua</w:t>
            </w:r>
          </w:p>
        </w:tc>
        <w:tc>
          <w:tcPr/>
          <w:p>
            <w:pPr>
              <w:pStyle w:val="Compact"/>
              <w:jc w:val="right"/>
            </w:pPr>
            <w:r>
              <w:t xml:space="preserve">0.240</w:t>
            </w:r>
          </w:p>
        </w:tc>
      </w:tr>
      <w:tr>
        <w:tc>
          <w:tcPr/>
          <w:p>
            <w:pPr>
              <w:pStyle w:val="Compact"/>
              <w:jc w:val="left"/>
            </w:pPr>
            <w:r>
              <w:t xml:space="preserve">Citrus</w:t>
            </w:r>
          </w:p>
        </w:tc>
        <w:tc>
          <w:tcPr/>
          <w:p>
            <w:pPr>
              <w:pStyle w:val="Compact"/>
              <w:jc w:val="right"/>
            </w:pPr>
            <w:r>
              <w:t xml:space="preserve">0.075</w:t>
            </w:r>
          </w:p>
        </w:tc>
        <w:tc>
          <w:tcPr/>
          <w:p>
            <w:pPr>
              <w:pStyle w:val="Compact"/>
              <w:jc w:val="left"/>
            </w:pPr>
            <w:r>
              <w:t xml:space="preserve">Marion</w:t>
            </w:r>
          </w:p>
        </w:tc>
        <w:tc>
          <w:tcPr/>
          <w:p>
            <w:pPr>
              <w:pStyle w:val="Compact"/>
              <w:jc w:val="right"/>
            </w:pPr>
            <w:r>
              <w:t xml:space="preserve">0.229</w:t>
            </w:r>
          </w:p>
        </w:tc>
      </w:tr>
      <w:tr>
        <w:tc>
          <w:tcPr/>
          <w:p>
            <w:pPr>
              <w:pStyle w:val="Compact"/>
              <w:jc w:val="left"/>
            </w:pPr>
            <w:r>
              <w:t xml:space="preserve">Gilchrist</w:t>
            </w:r>
          </w:p>
        </w:tc>
        <w:tc>
          <w:tcPr/>
          <w:p>
            <w:pPr>
              <w:pStyle w:val="Compact"/>
              <w:jc w:val="right"/>
            </w:pPr>
            <w:r>
              <w:t xml:space="preserve">0.029</w:t>
            </w:r>
          </w:p>
        </w:tc>
        <w:tc>
          <w:tcPr/>
          <w:p>
            <w:pPr>
              <w:pStyle w:val="Compact"/>
              <w:jc w:val="left"/>
            </w:pPr>
            <w:r>
              <w:t xml:space="preserve">Citrus</w:t>
            </w:r>
          </w:p>
        </w:tc>
        <w:tc>
          <w:tcPr/>
          <w:p>
            <w:pPr>
              <w:pStyle w:val="Compact"/>
              <w:jc w:val="right"/>
            </w:pPr>
            <w:r>
              <w:t xml:space="preserve">0.056</w:t>
            </w:r>
          </w:p>
        </w:tc>
      </w:tr>
      <w:tr>
        <w:tc>
          <w:tcPr/>
          <w:p>
            <w:pPr>
              <w:pStyle w:val="Compact"/>
              <w:jc w:val="left"/>
            </w:pPr>
            <w:r>
              <w:t xml:space="preserve">Lake</w:t>
            </w:r>
          </w:p>
        </w:tc>
        <w:tc>
          <w:tcPr/>
          <w:p>
            <w:pPr>
              <w:pStyle w:val="Compact"/>
              <w:jc w:val="right"/>
            </w:pPr>
            <w:r>
              <w:t xml:space="preserve">0.029</w:t>
            </w:r>
          </w:p>
        </w:tc>
        <w:tc>
          <w:tcPr/>
          <w:p>
            <w:pPr>
              <w:pStyle w:val="Compact"/>
              <w:jc w:val="left"/>
            </w:pPr>
            <w:r>
              <w:t xml:space="preserve">Lake</w:t>
            </w:r>
          </w:p>
        </w:tc>
        <w:tc>
          <w:tcPr/>
          <w:p>
            <w:pPr>
              <w:pStyle w:val="Compact"/>
              <w:jc w:val="right"/>
            </w:pPr>
            <w:r>
              <w:t xml:space="preserve">0.022</w:t>
            </w:r>
          </w:p>
        </w:tc>
      </w:tr>
    </w:tbl>
    <w:p>
      <w:pPr>
        <w:pStyle w:val="BodyText"/>
      </w:pPr>
      <w:r>
        <w:rPr>
          <w:b/>
          <w:bCs/>
        </w:rPr>
        <w:t xml:space="preserve">Table 2. The origins of Florida resident anglers fishing in Levy County, for 2014-2024.</w:t>
      </w:r>
      <w:r>
        <w:br/>
      </w:r>
      <w:r>
        <w:t xml:space="preserve">This table shows where Florida resident anglers come from when they fish Levy County.</w:t>
      </w:r>
      <w:r>
        <w:t xml:space="preserve"> </w:t>
      </w:r>
      <w:r>
        <w:rPr>
          <w:b/>
          <w:bCs/>
        </w:rPr>
        <w:t xml:space="preserve">Columns 1 &amp; 2</w:t>
      </w:r>
      <w:r>
        <w:rPr>
          <w:b/>
          <w:bCs/>
        </w:rPr>
        <w:t xml:space="preserve"> </w:t>
      </w:r>
      <w:r>
        <w:t xml:space="preserve"> </w:t>
      </w:r>
      <w:r>
        <w:t xml:space="preserve">show origins of trips in Levy County by anglers who are</w:t>
      </w:r>
      <w:r>
        <w:t xml:space="preserve"> </w:t>
      </w:r>
      <w:r>
        <w:rPr>
          <w:b/>
          <w:bCs/>
        </w:rPr>
        <w:t xml:space="preserve">not</w:t>
      </w:r>
      <w:r>
        <w:t xml:space="preserve"> </w:t>
      </w:r>
      <w:r>
        <w:t xml:space="preserve">residents of Levy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Levy County. This information can be used to identifying in-state advertising.</w:t>
      </w:r>
    </w:p>
    <w:p>
      <w:pPr>
        <w:pStyle w:val="BodyText"/>
      </w:pPr>
    </w:p>
    <w:bookmarkEnd w:id="24"/>
    <w:bookmarkEnd w:id="25"/>
    <w:bookmarkStart w:id="27" w:name="what-people-fish-for-in-levy-county"/>
    <w:p>
      <w:pPr>
        <w:pStyle w:val="Heading3"/>
      </w:pPr>
      <w:r>
        <w:t xml:space="preserve">What people fish for in Levy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708"/>
        <w:gridCol w:w="465"/>
        <w:gridCol w:w="1320"/>
        <w:gridCol w:w="465"/>
        <w:gridCol w:w="1552"/>
        <w:gridCol w:w="465"/>
        <w:gridCol w:w="1475"/>
        <w:gridCol w:w="465"/>
      </w:tblGrid>
      <w:tr>
        <w:trPr>
          <w:tblHeader w:val="on"/>
        </w:trPr>
        <w:tc>
          <w:tcPr/>
          <w:p>
            <w:pPr>
              <w:pStyle w:val="Compact"/>
              <w:jc w:val="left"/>
            </w:pPr>
            <w:r>
              <w:t xml:space="preserve">All Levy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0.348</w:t>
            </w:r>
          </w:p>
        </w:tc>
        <w:tc>
          <w:tcPr/>
          <w:p>
            <w:pPr>
              <w:pStyle w:val="Compact"/>
              <w:jc w:val="left"/>
            </w:pPr>
            <w:r>
              <w:t xml:space="preserve">Red drum</w:t>
            </w:r>
          </w:p>
        </w:tc>
        <w:tc>
          <w:tcPr/>
          <w:p>
            <w:pPr>
              <w:pStyle w:val="Compact"/>
              <w:jc w:val="right"/>
            </w:pPr>
            <w:r>
              <w:t xml:space="preserve">0.414</w:t>
            </w:r>
          </w:p>
        </w:tc>
        <w:tc>
          <w:tcPr/>
          <w:p>
            <w:pPr>
              <w:pStyle w:val="Compact"/>
              <w:jc w:val="left"/>
            </w:pPr>
            <w:r>
              <w:t xml:space="preserve">No Target</w:t>
            </w:r>
          </w:p>
        </w:tc>
        <w:tc>
          <w:tcPr/>
          <w:p>
            <w:pPr>
              <w:pStyle w:val="Compact"/>
              <w:jc w:val="right"/>
            </w:pPr>
            <w:r>
              <w:t xml:space="preserve">0.353</w:t>
            </w:r>
          </w:p>
        </w:tc>
        <w:tc>
          <w:tcPr/>
          <w:p>
            <w:pPr>
              <w:pStyle w:val="Compact"/>
              <w:jc w:val="left"/>
            </w:pPr>
            <w:r>
              <w:t xml:space="preserve">No Target</w:t>
            </w:r>
          </w:p>
        </w:tc>
        <w:tc>
          <w:tcPr/>
          <w:p>
            <w:pPr>
              <w:pStyle w:val="Compact"/>
              <w:jc w:val="right"/>
            </w:pPr>
            <w:r>
              <w:t xml:space="preserve">0.359</w:t>
            </w:r>
          </w:p>
        </w:tc>
      </w:tr>
      <w:tr>
        <w:tc>
          <w:tcPr/>
          <w:p>
            <w:pPr>
              <w:pStyle w:val="Compact"/>
              <w:jc w:val="left"/>
            </w:pPr>
            <w:r>
              <w:t xml:space="preserve">Red drum</w:t>
            </w:r>
          </w:p>
        </w:tc>
        <w:tc>
          <w:tcPr/>
          <w:p>
            <w:pPr>
              <w:pStyle w:val="Compact"/>
              <w:jc w:val="right"/>
            </w:pPr>
            <w:r>
              <w:t xml:space="preserve">0.320</w:t>
            </w:r>
          </w:p>
        </w:tc>
        <w:tc>
          <w:tcPr/>
          <w:p>
            <w:pPr>
              <w:pStyle w:val="Compact"/>
              <w:jc w:val="left"/>
            </w:pPr>
            <w:r>
              <w:t xml:space="preserve">No Target</w:t>
            </w:r>
          </w:p>
        </w:tc>
        <w:tc>
          <w:tcPr/>
          <w:p>
            <w:pPr>
              <w:pStyle w:val="Compact"/>
              <w:jc w:val="right"/>
            </w:pPr>
            <w:r>
              <w:t xml:space="preserve">0.330</w:t>
            </w:r>
          </w:p>
        </w:tc>
        <w:tc>
          <w:tcPr/>
          <w:p>
            <w:pPr>
              <w:pStyle w:val="Compact"/>
              <w:jc w:val="left"/>
            </w:pPr>
            <w:r>
              <w:t xml:space="preserve">Red drum</w:t>
            </w:r>
          </w:p>
        </w:tc>
        <w:tc>
          <w:tcPr/>
          <w:p>
            <w:pPr>
              <w:pStyle w:val="Compact"/>
              <w:jc w:val="right"/>
            </w:pPr>
            <w:r>
              <w:t xml:space="preserve">0.293</w:t>
            </w:r>
          </w:p>
        </w:tc>
        <w:tc>
          <w:tcPr/>
          <w:p>
            <w:pPr>
              <w:pStyle w:val="Compact"/>
              <w:jc w:val="left"/>
            </w:pPr>
            <w:r>
              <w:t xml:space="preserve">Red drum</w:t>
            </w:r>
          </w:p>
        </w:tc>
        <w:tc>
          <w:tcPr/>
          <w:p>
            <w:pPr>
              <w:pStyle w:val="Compact"/>
              <w:jc w:val="right"/>
            </w:pPr>
            <w:r>
              <w:t xml:space="preserve">0.286</w:t>
            </w:r>
          </w:p>
        </w:tc>
      </w:tr>
      <w:tr>
        <w:tc>
          <w:tcPr/>
          <w:p>
            <w:pPr>
              <w:pStyle w:val="Compact"/>
              <w:jc w:val="left"/>
            </w:pPr>
            <w:r>
              <w:t xml:space="preserve">Spotted seatrout</w:t>
            </w:r>
          </w:p>
        </w:tc>
        <w:tc>
          <w:tcPr/>
          <w:p>
            <w:pPr>
              <w:pStyle w:val="Compact"/>
              <w:jc w:val="right"/>
            </w:pPr>
            <w:r>
              <w:t xml:space="preserve">0.208</w:t>
            </w:r>
          </w:p>
        </w:tc>
        <w:tc>
          <w:tcPr/>
          <w:p>
            <w:pPr>
              <w:pStyle w:val="Compact"/>
              <w:jc w:val="left"/>
            </w:pPr>
            <w:r>
              <w:t xml:space="preserve">Spotted seatrout</w:t>
            </w:r>
          </w:p>
        </w:tc>
        <w:tc>
          <w:tcPr/>
          <w:p>
            <w:pPr>
              <w:pStyle w:val="Compact"/>
              <w:jc w:val="right"/>
            </w:pPr>
            <w:r>
              <w:t xml:space="preserve">0.176</w:t>
            </w:r>
          </w:p>
        </w:tc>
        <w:tc>
          <w:tcPr/>
          <w:p>
            <w:pPr>
              <w:pStyle w:val="Compact"/>
              <w:jc w:val="left"/>
            </w:pPr>
            <w:r>
              <w:t xml:space="preserve">Spotted seatrout</w:t>
            </w:r>
          </w:p>
        </w:tc>
        <w:tc>
          <w:tcPr/>
          <w:p>
            <w:pPr>
              <w:pStyle w:val="Compact"/>
              <w:jc w:val="right"/>
            </w:pPr>
            <w:r>
              <w:t xml:space="preserve">0.218</w:t>
            </w:r>
          </w:p>
        </w:tc>
        <w:tc>
          <w:tcPr/>
          <w:p>
            <w:pPr>
              <w:pStyle w:val="Compact"/>
              <w:jc w:val="left"/>
            </w:pPr>
            <w:r>
              <w:t xml:space="preserve">Spotted seatrout</w:t>
            </w:r>
          </w:p>
        </w:tc>
        <w:tc>
          <w:tcPr/>
          <w:p>
            <w:pPr>
              <w:pStyle w:val="Compact"/>
              <w:jc w:val="right"/>
            </w:pPr>
            <w:r>
              <w:t xml:space="preserve">0.246</w:t>
            </w:r>
          </w:p>
        </w:tc>
      </w:tr>
      <w:tr>
        <w:tc>
          <w:tcPr/>
          <w:p>
            <w:pPr>
              <w:pStyle w:val="Compact"/>
              <w:jc w:val="left"/>
            </w:pPr>
            <w:r>
              <w:t xml:space="preserve">Sheepshead</w:t>
            </w:r>
          </w:p>
        </w:tc>
        <w:tc>
          <w:tcPr/>
          <w:p>
            <w:pPr>
              <w:pStyle w:val="Compact"/>
              <w:jc w:val="right"/>
            </w:pPr>
            <w:r>
              <w:t xml:space="preserve">0.021</w:t>
            </w:r>
          </w:p>
        </w:tc>
        <w:tc>
          <w:tcPr/>
          <w:p>
            <w:pPr>
              <w:pStyle w:val="Compact"/>
              <w:jc w:val="left"/>
            </w:pPr>
            <w:r>
              <w:t xml:space="preserve">Gag</w:t>
            </w:r>
          </w:p>
        </w:tc>
        <w:tc>
          <w:tcPr/>
          <w:p>
            <w:pPr>
              <w:pStyle w:val="Compact"/>
              <w:jc w:val="right"/>
            </w:pPr>
            <w:r>
              <w:t xml:space="preserve">0.010</w:t>
            </w:r>
          </w:p>
        </w:tc>
        <w:tc>
          <w:tcPr/>
          <w:p>
            <w:pPr>
              <w:pStyle w:val="Compact"/>
              <w:jc w:val="left"/>
            </w:pPr>
            <w:r>
              <w:t xml:space="preserve">Sheepshead</w:t>
            </w:r>
          </w:p>
        </w:tc>
        <w:tc>
          <w:tcPr/>
          <w:p>
            <w:pPr>
              <w:pStyle w:val="Compact"/>
              <w:jc w:val="right"/>
            </w:pPr>
            <w:r>
              <w:t xml:space="preserve">0.024</w:t>
            </w:r>
          </w:p>
        </w:tc>
        <w:tc>
          <w:tcPr/>
          <w:p>
            <w:pPr>
              <w:pStyle w:val="Compact"/>
              <w:jc w:val="left"/>
            </w:pPr>
            <w:r>
              <w:t xml:space="preserve">Gag</w:t>
            </w:r>
          </w:p>
        </w:tc>
        <w:tc>
          <w:tcPr/>
          <w:p>
            <w:pPr>
              <w:pStyle w:val="Compact"/>
              <w:jc w:val="right"/>
            </w:pPr>
            <w:r>
              <w:t xml:space="preserve">0.022</w:t>
            </w:r>
          </w:p>
        </w:tc>
      </w:tr>
      <w:tr>
        <w:tc>
          <w:tcPr/>
          <w:p>
            <w:pPr>
              <w:pStyle w:val="Compact"/>
              <w:jc w:val="left"/>
            </w:pPr>
            <w:r>
              <w:t xml:space="preserve">Gag</w:t>
            </w:r>
          </w:p>
        </w:tc>
        <w:tc>
          <w:tcPr/>
          <w:p>
            <w:pPr>
              <w:pStyle w:val="Compact"/>
              <w:jc w:val="right"/>
            </w:pPr>
            <w:r>
              <w:t xml:space="preserve">0.018</w:t>
            </w:r>
          </w:p>
        </w:tc>
        <w:tc>
          <w:tcPr/>
          <w:p>
            <w:pPr>
              <w:pStyle w:val="Compact"/>
              <w:jc w:val="left"/>
            </w:pPr>
            <w:r>
              <w:t xml:space="preserve">Sheepshead</w:t>
            </w:r>
          </w:p>
        </w:tc>
        <w:tc>
          <w:tcPr/>
          <w:p>
            <w:pPr>
              <w:pStyle w:val="Compact"/>
              <w:jc w:val="right"/>
            </w:pPr>
            <w:r>
              <w:t xml:space="preserve">0.010</w:t>
            </w:r>
          </w:p>
        </w:tc>
        <w:tc>
          <w:tcPr/>
          <w:p>
            <w:pPr>
              <w:pStyle w:val="Compact"/>
              <w:jc w:val="left"/>
            </w:pPr>
            <w:r>
              <w:t xml:space="preserve">Gag</w:t>
            </w:r>
          </w:p>
        </w:tc>
        <w:tc>
          <w:tcPr/>
          <w:p>
            <w:pPr>
              <w:pStyle w:val="Compact"/>
              <w:jc w:val="right"/>
            </w:pPr>
            <w:r>
              <w:t xml:space="preserve">0.020</w:t>
            </w:r>
          </w:p>
        </w:tc>
        <w:tc>
          <w:tcPr/>
          <w:p>
            <w:pPr>
              <w:pStyle w:val="Compact"/>
              <w:jc w:val="left"/>
            </w:pPr>
            <w:r>
              <w:t xml:space="preserve">White grunt</w:t>
            </w:r>
          </w:p>
        </w:tc>
        <w:tc>
          <w:tcPr/>
          <w:p>
            <w:pPr>
              <w:pStyle w:val="Compact"/>
              <w:jc w:val="right"/>
            </w:pPr>
            <w:r>
              <w:t xml:space="preserve">0.020</w:t>
            </w:r>
          </w:p>
        </w:tc>
      </w:tr>
    </w:tbl>
    <w:p>
      <w:pPr>
        <w:pStyle w:val="BodyText"/>
      </w:pPr>
      <w:r>
        <w:rPr>
          <w:b/>
          <w:bCs/>
        </w:rPr>
        <w:t xml:space="preserve">Table 3. Proportions of species targeted by fishing trips made in Levy County by anglers from various origins, for 2014-2024.</w:t>
      </w:r>
      <w:r>
        <w:br/>
      </w:r>
      <w:r>
        <w:t xml:space="preserve">This table shows the top 5 species anglers fish in Levy County, depending on where they live.</w:t>
      </w:r>
      <w:r>
        <w:t xml:space="preserve"> </w:t>
      </w:r>
      <w:r>
        <w:rPr>
          <w:b/>
          <w:bCs/>
        </w:rPr>
        <w:t xml:space="preserve">Columns 1-2</w:t>
      </w:r>
      <w:r>
        <w:t xml:space="preserve"> </w:t>
      </w:r>
      <w:r>
        <w:t xml:space="preserve">shows what anglers fish for in Levy County regardless of where they come from.</w:t>
      </w:r>
      <w:r>
        <w:t xml:space="preserve"> </w:t>
      </w:r>
      <w:r>
        <w:rPr>
          <w:b/>
          <w:bCs/>
        </w:rPr>
        <w:t xml:space="preserve">Columns 3-4</w:t>
      </w:r>
      <w:r>
        <w:t xml:space="preserve"> </w:t>
      </w:r>
      <w:r>
        <w:t xml:space="preserve">shows what Levy County resident anglers fish for,</w:t>
      </w:r>
      <w:r>
        <w:t xml:space="preserve"> </w:t>
      </w:r>
      <w:r>
        <w:rPr>
          <w:b/>
          <w:bCs/>
        </w:rPr>
        <w:t xml:space="preserve">Columns 5-6</w:t>
      </w:r>
      <w:r>
        <w:t xml:space="preserve"> </w:t>
      </w:r>
      <w:r>
        <w:t xml:space="preserve">shows what anglers who live in Florida but not Levy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433F48-D2BF-4EFE-A82A-2C86E05A29DB}"/>
</file>

<file path=customXml/itemProps2.xml><?xml version="1.0" encoding="utf-8"?>
<ds:datastoreItem xmlns:ds="http://schemas.openxmlformats.org/officeDocument/2006/customXml" ds:itemID="{C7D248E7-A5D1-4612-B8C5-834BFD5B184E}"/>
</file>

<file path=customXml/itemProps3.xml><?xml version="1.0" encoding="utf-8"?>
<ds:datastoreItem xmlns:ds="http://schemas.openxmlformats.org/officeDocument/2006/customXml" ds:itemID="{A42EF953-E9C1-4902-8449-ACDEB69C0F8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Levy County</dc:title>
  <dc:creator>Prepared for Levy County by Ed Camp (edvcamp@ufl.edu) Assistant Professor University of Florida, and Savanna Barry, Florida Sea Grant Regional Specialized Extension Agent Nature Coast, savanna.barry@ufl.edu</dc:creator>
  <cp:keywords/>
  <dcterms:created xsi:type="dcterms:W3CDTF">2025-03-13T18:49:59Z</dcterms:created>
  <dcterms:modified xsi:type="dcterms:W3CDTF">2025-03-13T18:49:59Z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