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Miami-Dade County</w:t>
      </w:r>
    </w:p>
    <w:p>
      <w:pPr>
        <w:pStyle w:val="Author"/>
      </w:pPr>
      <w:r>
        <w:t xml:space="preserve">Prepared for Miami-Dade County by Ed Camp (</w:t>
      </w:r>
      <w:hyperlink r:id="rId20">
        <w:r>
          <w:rPr>
            <w:rStyle w:val="Hyperlink"/>
          </w:rPr>
          <w:t xml:space="preserve">edvcamp@ufl.edu</w:t>
        </w:r>
      </w:hyperlink>
      <w:r>
        <w:t xml:space="preserve">) Assistant Professor University of Florida, and Ana Zangroniz, Florida Sea Grant Extension Agent Miami-Dade County,</w:t>
      </w:r>
      <w:r>
        <w:t xml:space="preserve"> </w:t>
      </w:r>
      <w:hyperlink r:id="rId21">
        <w:r>
          <w:rPr>
            <w:rStyle w:val="Hyperlink"/>
          </w:rPr>
          <w:t xml:space="preserve">azangroniz@ufl.edu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Miami-Dade County</w:t>
      </w:r>
      <w:r>
        <w:t xml:space="preserve">. The report describes information about where people come from when they fish Miami-Dade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Miami-Dade County</w:t>
      </w:r>
      <w:r>
        <w:t xml:space="preserve">, which Ana Zangroniz can provide you.</w:t>
      </w:r>
    </w:p>
    <w:p>
      <w:pPr>
        <w:pStyle w:val="BodyText"/>
      </w:pPr>
    </w:p>
    <w:bookmarkEnd w:id="22"/>
    <w:bookmarkStart w:id="25" w:name="X682520a8063ec20a8f675f4ecc8cbe889f0718e"/>
    <w:p>
      <w:pPr>
        <w:pStyle w:val="Heading3"/>
      </w:pPr>
      <w:r>
        <w:t xml:space="preserve">Where people come from to fish Miami-Dade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62"/>
        <w:gridCol w:w="586"/>
        <w:gridCol w:w="1857"/>
        <w:gridCol w:w="586"/>
        <w:gridCol w:w="2640"/>
        <w:gridCol w:w="586"/>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Southeast</w:t>
            </w:r>
          </w:p>
        </w:tc>
        <w:tc>
          <w:tcPr/>
          <w:p>
            <w:pPr>
              <w:pStyle w:val="Compact"/>
              <w:jc w:val="right"/>
            </w:pPr>
            <w:r>
              <w:t xml:space="preserve">Prop.</w:t>
            </w:r>
          </w:p>
        </w:tc>
        <w:tc>
          <w:tcPr/>
          <w:p>
            <w:pPr>
              <w:pStyle w:val="Compact"/>
              <w:jc w:val="left"/>
            </w:pPr>
            <w:r>
              <w:t xml:space="preserve">Trips to Miami-Dade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0.194</w:t>
            </w:r>
          </w:p>
        </w:tc>
        <w:tc>
          <w:tcPr/>
          <w:p>
            <w:pPr>
              <w:pStyle w:val="Compact"/>
              <w:jc w:val="left"/>
            </w:pPr>
            <w:r>
              <w:t xml:space="preserve">Not Available</w:t>
            </w:r>
          </w:p>
        </w:tc>
        <w:tc>
          <w:tcPr/>
          <w:p>
            <w:pPr>
              <w:pStyle w:val="Compact"/>
              <w:jc w:val="right"/>
            </w:pPr>
            <w:r>
              <w:t xml:space="preserve">0.225</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Texas</w:t>
            </w:r>
          </w:p>
        </w:tc>
        <w:tc>
          <w:tcPr/>
          <w:p>
            <w:pPr>
              <w:pStyle w:val="Compact"/>
              <w:jc w:val="right"/>
            </w:pPr>
            <w:r>
              <w:t xml:space="preserve">0.083</w:t>
            </w:r>
          </w:p>
        </w:tc>
        <w:tc>
          <w:tcPr/>
          <w:p>
            <w:pPr>
              <w:pStyle w:val="Compact"/>
              <w:jc w:val="left"/>
            </w:pPr>
            <w:r>
              <w:t xml:space="preserve">Texas</w:t>
            </w:r>
          </w:p>
        </w:tc>
        <w:tc>
          <w:tcPr/>
          <w:p>
            <w:pPr>
              <w:pStyle w:val="Compact"/>
              <w:jc w:val="right"/>
            </w:pPr>
            <w:r>
              <w:t xml:space="preserve">0.094</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New York</w:t>
            </w:r>
          </w:p>
        </w:tc>
        <w:tc>
          <w:tcPr/>
          <w:p>
            <w:pPr>
              <w:pStyle w:val="Compact"/>
              <w:jc w:val="right"/>
            </w:pPr>
            <w:r>
              <w:t xml:space="preserve">0.080</w:t>
            </w:r>
          </w:p>
        </w:tc>
        <w:tc>
          <w:tcPr/>
          <w:p>
            <w:pPr>
              <w:pStyle w:val="Compact"/>
              <w:jc w:val="left"/>
            </w:pPr>
            <w:r>
              <w:t xml:space="preserve">New York</w:t>
            </w:r>
          </w:p>
        </w:tc>
        <w:tc>
          <w:tcPr/>
          <w:p>
            <w:pPr>
              <w:pStyle w:val="Compact"/>
              <w:jc w:val="right"/>
            </w:pPr>
            <w:r>
              <w:t xml:space="preserve">0.073</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0.047</w:t>
            </w:r>
          </w:p>
        </w:tc>
        <w:tc>
          <w:tcPr/>
          <w:p>
            <w:pPr>
              <w:pStyle w:val="Compact"/>
              <w:jc w:val="left"/>
            </w:pPr>
            <w:r>
              <w:t xml:space="preserve">Illinois</w:t>
            </w:r>
          </w:p>
        </w:tc>
        <w:tc>
          <w:tcPr/>
          <w:p>
            <w:pPr>
              <w:pStyle w:val="Compact"/>
              <w:jc w:val="right"/>
            </w:pPr>
            <w:r>
              <w:t xml:space="preserve">0.050</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Pennsylvania</w:t>
            </w:r>
          </w:p>
        </w:tc>
        <w:tc>
          <w:tcPr/>
          <w:p>
            <w:pPr>
              <w:pStyle w:val="Compact"/>
              <w:jc w:val="right"/>
            </w:pPr>
            <w:r>
              <w:t xml:space="preserve">0.047</w:t>
            </w:r>
          </w:p>
        </w:tc>
        <w:tc>
          <w:tcPr/>
          <w:p>
            <w:pPr>
              <w:pStyle w:val="Compact"/>
              <w:jc w:val="left"/>
            </w:pPr>
            <w:r>
              <w:t xml:space="preserve">California</w:t>
            </w:r>
          </w:p>
        </w:tc>
        <w:tc>
          <w:tcPr/>
          <w:p>
            <w:pPr>
              <w:pStyle w:val="Compact"/>
              <w:jc w:val="right"/>
            </w:pPr>
            <w:r>
              <w:t xml:space="preserve">0.043</w:t>
            </w:r>
          </w:p>
        </w:tc>
      </w:tr>
    </w:tbl>
    <w:p>
      <w:pPr>
        <w:pStyle w:val="BodyText"/>
      </w:pPr>
      <w:r>
        <w:rPr>
          <w:b/>
          <w:bCs/>
        </w:rPr>
        <w:t xml:space="preserve">Table 1. The origins of out-of-state angler trips for Florida, the region, and specifically Miami-Dade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Miami-Dade County. Comparing the columns shows how Miami-Dade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Broward</w:t>
            </w:r>
          </w:p>
        </w:tc>
        <w:tc>
          <w:tcPr/>
          <w:p>
            <w:pPr>
              <w:pStyle w:val="Compact"/>
              <w:jc w:val="right"/>
            </w:pPr>
            <w:r>
              <w:t xml:space="preserve">0.690</w:t>
            </w:r>
          </w:p>
        </w:tc>
        <w:tc>
          <w:tcPr/>
          <w:p>
            <w:pPr>
              <w:pStyle w:val="Compact"/>
              <w:jc w:val="left"/>
            </w:pPr>
            <w:r>
              <w:t xml:space="preserve">Miami-Dade</w:t>
            </w:r>
          </w:p>
        </w:tc>
        <w:tc>
          <w:tcPr/>
          <w:p>
            <w:pPr>
              <w:pStyle w:val="Compact"/>
              <w:jc w:val="right"/>
            </w:pPr>
            <w:r>
              <w:t xml:space="preserve">0.840</w:t>
            </w:r>
          </w:p>
        </w:tc>
      </w:tr>
      <w:tr>
        <w:tc>
          <w:tcPr/>
          <w:p>
            <w:pPr>
              <w:pStyle w:val="Compact"/>
              <w:jc w:val="left"/>
            </w:pPr>
            <w:r>
              <w:t xml:space="preserve">Palm Beach</w:t>
            </w:r>
          </w:p>
        </w:tc>
        <w:tc>
          <w:tcPr/>
          <w:p>
            <w:pPr>
              <w:pStyle w:val="Compact"/>
              <w:jc w:val="right"/>
            </w:pPr>
            <w:r>
              <w:t xml:space="preserve">0.075</w:t>
            </w:r>
          </w:p>
        </w:tc>
        <w:tc>
          <w:tcPr/>
          <w:p>
            <w:pPr>
              <w:pStyle w:val="Compact"/>
              <w:jc w:val="left"/>
            </w:pPr>
            <w:r>
              <w:t xml:space="preserve">Broward</w:t>
            </w:r>
          </w:p>
        </w:tc>
        <w:tc>
          <w:tcPr/>
          <w:p>
            <w:pPr>
              <w:pStyle w:val="Compact"/>
              <w:jc w:val="right"/>
            </w:pPr>
            <w:r>
              <w:t xml:space="preserve">0.110</w:t>
            </w:r>
          </w:p>
        </w:tc>
      </w:tr>
      <w:tr>
        <w:tc>
          <w:tcPr/>
          <w:p>
            <w:pPr>
              <w:pStyle w:val="Compact"/>
              <w:jc w:val="left"/>
            </w:pPr>
            <w:r>
              <w:t xml:space="preserve">Hillsborough</w:t>
            </w:r>
          </w:p>
        </w:tc>
        <w:tc>
          <w:tcPr/>
          <w:p>
            <w:pPr>
              <w:pStyle w:val="Compact"/>
              <w:jc w:val="right"/>
            </w:pPr>
            <w:r>
              <w:t xml:space="preserve">0.026</w:t>
            </w:r>
          </w:p>
        </w:tc>
        <w:tc>
          <w:tcPr/>
          <w:p>
            <w:pPr>
              <w:pStyle w:val="Compact"/>
              <w:jc w:val="left"/>
            </w:pPr>
            <w:r>
              <w:t xml:space="preserve">Palm Beach</w:t>
            </w:r>
          </w:p>
        </w:tc>
        <w:tc>
          <w:tcPr/>
          <w:p>
            <w:pPr>
              <w:pStyle w:val="Compact"/>
              <w:jc w:val="right"/>
            </w:pPr>
            <w:r>
              <w:t xml:space="preserve">0.012</w:t>
            </w:r>
          </w:p>
        </w:tc>
      </w:tr>
      <w:tr>
        <w:tc>
          <w:tcPr/>
          <w:p>
            <w:pPr>
              <w:pStyle w:val="Compact"/>
              <w:jc w:val="left"/>
            </w:pPr>
            <w:r>
              <w:t xml:space="preserve">Lee</w:t>
            </w:r>
          </w:p>
        </w:tc>
        <w:tc>
          <w:tcPr/>
          <w:p>
            <w:pPr>
              <w:pStyle w:val="Compact"/>
              <w:jc w:val="right"/>
            </w:pPr>
            <w:r>
              <w:t xml:space="preserve">0.026</w:t>
            </w:r>
          </w:p>
        </w:tc>
        <w:tc>
          <w:tcPr/>
          <w:p>
            <w:pPr>
              <w:pStyle w:val="Compact"/>
              <w:jc w:val="left"/>
            </w:pPr>
            <w:r>
              <w:t xml:space="preserve">Hillsborough</w:t>
            </w:r>
          </w:p>
        </w:tc>
        <w:tc>
          <w:tcPr/>
          <w:p>
            <w:pPr>
              <w:pStyle w:val="Compact"/>
              <w:jc w:val="right"/>
            </w:pPr>
            <w:r>
              <w:t xml:space="preserve">0.004</w:t>
            </w:r>
          </w:p>
        </w:tc>
      </w:tr>
      <w:tr>
        <w:tc>
          <w:tcPr/>
          <w:p>
            <w:pPr>
              <w:pStyle w:val="Compact"/>
              <w:jc w:val="left"/>
            </w:pPr>
            <w:r>
              <w:t xml:space="preserve">Orange</w:t>
            </w:r>
          </w:p>
        </w:tc>
        <w:tc>
          <w:tcPr/>
          <w:p>
            <w:pPr>
              <w:pStyle w:val="Compact"/>
              <w:jc w:val="right"/>
            </w:pPr>
            <w:r>
              <w:t xml:space="preserve">0.019</w:t>
            </w:r>
          </w:p>
        </w:tc>
        <w:tc>
          <w:tcPr/>
          <w:p>
            <w:pPr>
              <w:pStyle w:val="Compact"/>
              <w:jc w:val="left"/>
            </w:pPr>
            <w:r>
              <w:t xml:space="preserve">Lee</w:t>
            </w:r>
          </w:p>
        </w:tc>
        <w:tc>
          <w:tcPr/>
          <w:p>
            <w:pPr>
              <w:pStyle w:val="Compact"/>
              <w:jc w:val="right"/>
            </w:pPr>
            <w:r>
              <w:t xml:space="preserve">0.004</w:t>
            </w:r>
          </w:p>
        </w:tc>
      </w:tr>
    </w:tbl>
    <w:p>
      <w:pPr>
        <w:pStyle w:val="BodyText"/>
      </w:pPr>
      <w:r>
        <w:rPr>
          <w:b/>
          <w:bCs/>
        </w:rPr>
        <w:t xml:space="preserve">Table 2. The origins of Florida resident anglers fishing in Miami-Dade County, for 2014-2024.</w:t>
      </w:r>
      <w:r>
        <w:br/>
      </w:r>
      <w:r>
        <w:t xml:space="preserve">This table shows where Florida resident anglers come from when they fish Miami-Dade County.</w:t>
      </w:r>
      <w:r>
        <w:t xml:space="preserve"> </w:t>
      </w:r>
      <w:r>
        <w:rPr>
          <w:b/>
          <w:bCs/>
        </w:rPr>
        <w:t xml:space="preserve">Columns 1 &amp; 2</w:t>
      </w:r>
      <w:r>
        <w:rPr>
          <w:b/>
          <w:bCs/>
        </w:rPr>
        <w:t xml:space="preserve"> </w:t>
      </w:r>
      <w:r>
        <w:t xml:space="preserve"> </w:t>
      </w:r>
      <w:r>
        <w:t xml:space="preserve">show origins of trips in Miami-Dade County by anglers who are</w:t>
      </w:r>
      <w:r>
        <w:t xml:space="preserve"> </w:t>
      </w:r>
      <w:r>
        <w:rPr>
          <w:b/>
          <w:bCs/>
        </w:rPr>
        <w:t xml:space="preserve">not</w:t>
      </w:r>
      <w:r>
        <w:t xml:space="preserve"> </w:t>
      </w:r>
      <w:r>
        <w:t xml:space="preserve">residents of Miami-Dade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Miami-Dade County. This information can be used to identifying in-state advertising.</w:t>
      </w:r>
    </w:p>
    <w:p>
      <w:pPr>
        <w:pStyle w:val="BodyText"/>
      </w:pPr>
    </w:p>
    <w:bookmarkEnd w:id="24"/>
    <w:bookmarkEnd w:id="25"/>
    <w:bookmarkStart w:id="27" w:name="Xb90edbd4250aa809583624572be4d3c9971ea9c"/>
    <w:p>
      <w:pPr>
        <w:pStyle w:val="Heading3"/>
      </w:pPr>
      <w:r>
        <w:t xml:space="preserve">What people fish for in Miami-Dade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2015"/>
        <w:gridCol w:w="432"/>
        <w:gridCol w:w="1368"/>
        <w:gridCol w:w="432"/>
        <w:gridCol w:w="1440"/>
        <w:gridCol w:w="432"/>
        <w:gridCol w:w="1368"/>
        <w:gridCol w:w="432"/>
      </w:tblGrid>
      <w:tr>
        <w:trPr>
          <w:tblHeader w:val="on"/>
        </w:trPr>
        <w:tc>
          <w:tcPr/>
          <w:p>
            <w:pPr>
              <w:pStyle w:val="Compact"/>
              <w:jc w:val="left"/>
            </w:pPr>
            <w:r>
              <w:t xml:space="preserve">All Miami-Dade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0.563</w:t>
            </w:r>
          </w:p>
        </w:tc>
        <w:tc>
          <w:tcPr/>
          <w:p>
            <w:pPr>
              <w:pStyle w:val="Compact"/>
              <w:jc w:val="left"/>
            </w:pPr>
            <w:r>
              <w:t xml:space="preserve">No Target</w:t>
            </w:r>
          </w:p>
        </w:tc>
        <w:tc>
          <w:tcPr/>
          <w:p>
            <w:pPr>
              <w:pStyle w:val="Compact"/>
              <w:jc w:val="right"/>
            </w:pPr>
            <w:r>
              <w:t xml:space="preserve">0.518</w:t>
            </w:r>
          </w:p>
        </w:tc>
        <w:tc>
          <w:tcPr/>
          <w:p>
            <w:pPr>
              <w:pStyle w:val="Compact"/>
              <w:jc w:val="left"/>
            </w:pPr>
            <w:r>
              <w:t xml:space="preserve">No Target</w:t>
            </w:r>
          </w:p>
        </w:tc>
        <w:tc>
          <w:tcPr/>
          <w:p>
            <w:pPr>
              <w:pStyle w:val="Compact"/>
              <w:jc w:val="right"/>
            </w:pPr>
            <w:r>
              <w:t xml:space="preserve">0.660</w:t>
            </w:r>
          </w:p>
        </w:tc>
        <w:tc>
          <w:tcPr/>
          <w:p>
            <w:pPr>
              <w:pStyle w:val="Compact"/>
              <w:jc w:val="left"/>
            </w:pPr>
            <w:r>
              <w:t xml:space="preserve">No Target</w:t>
            </w:r>
          </w:p>
        </w:tc>
        <w:tc>
          <w:tcPr/>
          <w:p>
            <w:pPr>
              <w:pStyle w:val="Compact"/>
              <w:jc w:val="right"/>
            </w:pPr>
            <w:r>
              <w:t xml:space="preserve">0.783</w:t>
            </w:r>
          </w:p>
        </w:tc>
      </w:tr>
      <w:tr>
        <w:tc>
          <w:tcPr/>
          <w:p>
            <w:pPr>
              <w:pStyle w:val="Compact"/>
              <w:jc w:val="left"/>
            </w:pPr>
            <w:r>
              <w:t xml:space="preserve">Dolphin</w:t>
            </w:r>
          </w:p>
        </w:tc>
        <w:tc>
          <w:tcPr/>
          <w:p>
            <w:pPr>
              <w:pStyle w:val="Compact"/>
              <w:jc w:val="right"/>
            </w:pPr>
            <w:r>
              <w:t xml:space="preserve">0.125</w:t>
            </w:r>
          </w:p>
        </w:tc>
        <w:tc>
          <w:tcPr/>
          <w:p>
            <w:pPr>
              <w:pStyle w:val="Compact"/>
              <w:jc w:val="left"/>
            </w:pPr>
            <w:r>
              <w:t xml:space="preserve">Dolphin</w:t>
            </w:r>
          </w:p>
        </w:tc>
        <w:tc>
          <w:tcPr/>
          <w:p>
            <w:pPr>
              <w:pStyle w:val="Compact"/>
              <w:jc w:val="right"/>
            </w:pPr>
            <w:r>
              <w:t xml:space="preserve">0.132</w:t>
            </w:r>
          </w:p>
        </w:tc>
        <w:tc>
          <w:tcPr/>
          <w:p>
            <w:pPr>
              <w:pStyle w:val="Compact"/>
              <w:jc w:val="left"/>
            </w:pPr>
            <w:r>
              <w:t xml:space="preserve">Dolphin</w:t>
            </w:r>
          </w:p>
        </w:tc>
        <w:tc>
          <w:tcPr/>
          <w:p>
            <w:pPr>
              <w:pStyle w:val="Compact"/>
              <w:jc w:val="right"/>
            </w:pPr>
            <w:r>
              <w:t xml:space="preserve">0.111</w:t>
            </w:r>
          </w:p>
        </w:tc>
        <w:tc>
          <w:tcPr/>
          <w:p>
            <w:pPr>
              <w:pStyle w:val="Compact"/>
              <w:jc w:val="left"/>
            </w:pPr>
            <w:r>
              <w:t xml:space="preserve">Dolphin</w:t>
            </w:r>
          </w:p>
        </w:tc>
        <w:tc>
          <w:tcPr/>
          <w:p>
            <w:pPr>
              <w:pStyle w:val="Compact"/>
              <w:jc w:val="right"/>
            </w:pPr>
            <w:r>
              <w:t xml:space="preserve">0.051</w:t>
            </w:r>
          </w:p>
        </w:tc>
      </w:tr>
      <w:tr>
        <w:tc>
          <w:tcPr/>
          <w:p>
            <w:pPr>
              <w:pStyle w:val="Compact"/>
              <w:jc w:val="left"/>
            </w:pPr>
            <w:r>
              <w:t xml:space="preserve">Snapper family</w:t>
            </w:r>
          </w:p>
        </w:tc>
        <w:tc>
          <w:tcPr/>
          <w:p>
            <w:pPr>
              <w:pStyle w:val="Compact"/>
              <w:jc w:val="right"/>
            </w:pPr>
            <w:r>
              <w:t xml:space="preserve">0.042</w:t>
            </w:r>
          </w:p>
        </w:tc>
        <w:tc>
          <w:tcPr/>
          <w:p>
            <w:pPr>
              <w:pStyle w:val="Compact"/>
              <w:jc w:val="left"/>
            </w:pPr>
            <w:r>
              <w:t xml:space="preserve">Snapper family</w:t>
            </w:r>
          </w:p>
        </w:tc>
        <w:tc>
          <w:tcPr/>
          <w:p>
            <w:pPr>
              <w:pStyle w:val="Compact"/>
              <w:jc w:val="right"/>
            </w:pPr>
            <w:r>
              <w:t xml:space="preserve">0.053</w:t>
            </w:r>
          </w:p>
        </w:tc>
        <w:tc>
          <w:tcPr/>
          <w:p>
            <w:pPr>
              <w:pStyle w:val="Compact"/>
              <w:jc w:val="left"/>
            </w:pPr>
            <w:r>
              <w:t xml:space="preserve">Bonefish</w:t>
            </w:r>
          </w:p>
        </w:tc>
        <w:tc>
          <w:tcPr/>
          <w:p>
            <w:pPr>
              <w:pStyle w:val="Compact"/>
              <w:jc w:val="right"/>
            </w:pPr>
            <w:r>
              <w:t xml:space="preserve">0.031</w:t>
            </w:r>
          </w:p>
        </w:tc>
        <w:tc>
          <w:tcPr/>
          <w:p>
            <w:pPr>
              <w:pStyle w:val="Compact"/>
              <w:jc w:val="left"/>
            </w:pPr>
            <w:r>
              <w:t xml:space="preserve">Sailfish</w:t>
            </w:r>
          </w:p>
        </w:tc>
        <w:tc>
          <w:tcPr/>
          <w:p>
            <w:pPr>
              <w:pStyle w:val="Compact"/>
              <w:jc w:val="right"/>
            </w:pPr>
            <w:r>
              <w:t xml:space="preserve">0.029</w:t>
            </w:r>
          </w:p>
        </w:tc>
      </w:tr>
      <w:tr>
        <w:tc>
          <w:tcPr/>
          <w:p>
            <w:pPr>
              <w:pStyle w:val="Compact"/>
              <w:jc w:val="left"/>
            </w:pPr>
            <w:r>
              <w:t xml:space="preserve">Yellowtail snapper</w:t>
            </w:r>
          </w:p>
        </w:tc>
        <w:tc>
          <w:tcPr/>
          <w:p>
            <w:pPr>
              <w:pStyle w:val="Compact"/>
              <w:jc w:val="right"/>
            </w:pPr>
            <w:r>
              <w:t xml:space="preserve">0.033</w:t>
            </w:r>
          </w:p>
        </w:tc>
        <w:tc>
          <w:tcPr/>
          <w:p>
            <w:pPr>
              <w:pStyle w:val="Compact"/>
              <w:jc w:val="left"/>
            </w:pPr>
            <w:r>
              <w:t xml:space="preserve">Yellowtail snapper</w:t>
            </w:r>
          </w:p>
        </w:tc>
        <w:tc>
          <w:tcPr/>
          <w:p>
            <w:pPr>
              <w:pStyle w:val="Compact"/>
              <w:jc w:val="right"/>
            </w:pPr>
            <w:r>
              <w:t xml:space="preserve">0.043</w:t>
            </w:r>
          </w:p>
        </w:tc>
        <w:tc>
          <w:tcPr/>
          <w:p>
            <w:pPr>
              <w:pStyle w:val="Compact"/>
              <w:jc w:val="left"/>
            </w:pPr>
            <w:r>
              <w:t xml:space="preserve">Sailfish</w:t>
            </w:r>
          </w:p>
        </w:tc>
        <w:tc>
          <w:tcPr/>
          <w:p>
            <w:pPr>
              <w:pStyle w:val="Compact"/>
              <w:jc w:val="right"/>
            </w:pPr>
            <w:r>
              <w:t xml:space="preserve">0.025</w:t>
            </w:r>
          </w:p>
        </w:tc>
        <w:tc>
          <w:tcPr/>
          <w:p>
            <w:pPr>
              <w:pStyle w:val="Compact"/>
              <w:jc w:val="left"/>
            </w:pPr>
            <w:r>
              <w:t xml:space="preserve">Atlantic tarpon</w:t>
            </w:r>
          </w:p>
        </w:tc>
        <w:tc>
          <w:tcPr/>
          <w:p>
            <w:pPr>
              <w:pStyle w:val="Compact"/>
              <w:jc w:val="right"/>
            </w:pPr>
            <w:r>
              <w:t xml:space="preserve">0.018</w:t>
            </w:r>
          </w:p>
        </w:tc>
      </w:tr>
      <w:tr>
        <w:tc>
          <w:tcPr/>
          <w:p>
            <w:pPr>
              <w:pStyle w:val="Compact"/>
              <w:jc w:val="left"/>
            </w:pPr>
            <w:r>
              <w:t xml:space="preserve">Bonefish</w:t>
            </w:r>
          </w:p>
        </w:tc>
        <w:tc>
          <w:tcPr/>
          <w:p>
            <w:pPr>
              <w:pStyle w:val="Compact"/>
              <w:jc w:val="right"/>
            </w:pPr>
            <w:r>
              <w:t xml:space="preserve">0.026</w:t>
            </w:r>
          </w:p>
        </w:tc>
        <w:tc>
          <w:tcPr/>
          <w:p>
            <w:pPr>
              <w:pStyle w:val="Compact"/>
              <w:jc w:val="left"/>
            </w:pPr>
            <w:r>
              <w:t xml:space="preserve">Gray snapper</w:t>
            </w:r>
          </w:p>
        </w:tc>
        <w:tc>
          <w:tcPr/>
          <w:p>
            <w:pPr>
              <w:pStyle w:val="Compact"/>
              <w:jc w:val="right"/>
            </w:pPr>
            <w:r>
              <w:t xml:space="preserve">0.029</w:t>
            </w:r>
          </w:p>
        </w:tc>
        <w:tc>
          <w:tcPr/>
          <w:p>
            <w:pPr>
              <w:pStyle w:val="Compact"/>
              <w:jc w:val="left"/>
            </w:pPr>
            <w:r>
              <w:t xml:space="preserve">Snapper family</w:t>
            </w:r>
          </w:p>
        </w:tc>
        <w:tc>
          <w:tcPr/>
          <w:p>
            <w:pPr>
              <w:pStyle w:val="Compact"/>
              <w:jc w:val="right"/>
            </w:pPr>
            <w:r>
              <w:t xml:space="preserve">0.020</w:t>
            </w:r>
          </w:p>
        </w:tc>
        <w:tc>
          <w:tcPr/>
          <w:p>
            <w:pPr>
              <w:pStyle w:val="Compact"/>
              <w:jc w:val="left"/>
            </w:pPr>
            <w:r>
              <w:t xml:space="preserve">Bonefish</w:t>
            </w:r>
          </w:p>
        </w:tc>
        <w:tc>
          <w:tcPr/>
          <w:p>
            <w:pPr>
              <w:pStyle w:val="Compact"/>
              <w:jc w:val="right"/>
            </w:pPr>
            <w:r>
              <w:t xml:space="preserve">0.018</w:t>
            </w:r>
          </w:p>
        </w:tc>
      </w:tr>
    </w:tbl>
    <w:p>
      <w:pPr>
        <w:pStyle w:val="BodyText"/>
      </w:pPr>
      <w:r>
        <w:rPr>
          <w:b/>
          <w:bCs/>
        </w:rPr>
        <w:t xml:space="preserve">Table 3. Proportions of species targeted by fishing trips made in Miami-Dade County by anglers from various origins, for 2014-2024.</w:t>
      </w:r>
      <w:r>
        <w:br/>
      </w:r>
      <w:r>
        <w:t xml:space="preserve">This table shows the top 5 species anglers fish in Miami-Dade County, depending on where they live.</w:t>
      </w:r>
      <w:r>
        <w:t xml:space="preserve"> </w:t>
      </w:r>
      <w:r>
        <w:rPr>
          <w:b/>
          <w:bCs/>
        </w:rPr>
        <w:t xml:space="preserve">Columns 1-2</w:t>
      </w:r>
      <w:r>
        <w:t xml:space="preserve"> </w:t>
      </w:r>
      <w:r>
        <w:t xml:space="preserve">shows what anglers fish for in Miami-Dade County regardless of where they come from.</w:t>
      </w:r>
      <w:r>
        <w:t xml:space="preserve"> </w:t>
      </w:r>
      <w:r>
        <w:rPr>
          <w:b/>
          <w:bCs/>
        </w:rPr>
        <w:t xml:space="preserve">Columns 3-4</w:t>
      </w:r>
      <w:r>
        <w:t xml:space="preserve"> </w:t>
      </w:r>
      <w:r>
        <w:t xml:space="preserve">shows what Miami-Dade County resident anglers fish for,</w:t>
      </w:r>
      <w:r>
        <w:t xml:space="preserve"> </w:t>
      </w:r>
      <w:r>
        <w:rPr>
          <w:b/>
          <w:bCs/>
        </w:rPr>
        <w:t xml:space="preserve">Columns 5-6</w:t>
      </w:r>
      <w:r>
        <w:t xml:space="preserve"> </w:t>
      </w:r>
      <w:r>
        <w:t xml:space="preserve">shows what anglers who live in Florida but not Miami-Dade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zangroniz@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44F877-35DB-4255-8BA4-4D60D3D2636B}"/>
</file>

<file path=customXml/itemProps2.xml><?xml version="1.0" encoding="utf-8"?>
<ds:datastoreItem xmlns:ds="http://schemas.openxmlformats.org/officeDocument/2006/customXml" ds:itemID="{61E43331-EFD0-4D9A-A885-3B48A0CC1EF3}"/>
</file>

<file path=customXml/itemProps3.xml><?xml version="1.0" encoding="utf-8"?>
<ds:datastoreItem xmlns:ds="http://schemas.openxmlformats.org/officeDocument/2006/customXml" ds:itemID="{FD92E709-EB94-4C69-91B1-60523A14A0B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Miami-Dade County</dc:title>
  <dc:creator>Prepared for Miami-Dade County by Ed Camp (edvcamp@ufl.edu) Assistant Professor University of Florida, and Ana Zangroniz, Florida Sea Grant Extension Agent Miami-Dade County, azangroniz@ufl.edu</dc:creator>
  <cp:keywords/>
  <dcterms:created xsi:type="dcterms:W3CDTF">2025-03-13T18:50:48Z</dcterms:created>
  <dcterms:modified xsi:type="dcterms:W3CDTF">2025-03-13T18:50:48Z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