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Palm Beach County</w:t>
      </w:r>
    </w:p>
    <w:p>
      <w:pPr>
        <w:pStyle w:val="Author"/>
      </w:pPr>
      <w:r>
        <w:t xml:space="preserve">Prepared for Palm Beach County by Ed Camp (</w:t>
      </w:r>
      <w:hyperlink r:id="rId20">
        <w:r>
          <w:rPr>
            <w:rStyle w:val="Hyperlink"/>
          </w:rPr>
          <w:t xml:space="preserve">edvcamp@ufl.edu</w:t>
        </w:r>
      </w:hyperlink>
      <w:r>
        <w:t xml:space="preserve">) Assistant Professor University of Florida, and Vincent Encomio, Florida Sea Grant Extension Agent Martin and St. Lucie Counties,</w:t>
      </w:r>
      <w:r>
        <w:t xml:space="preserve"> </w:t>
      </w:r>
      <w:hyperlink r:id="rId21">
        <w:r>
          <w:rPr>
            <w:rStyle w:val="Hyperlink"/>
          </w:rPr>
          <w:t xml:space="preserve">vencomio@ufl.edu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Palm Beach County</w:t>
      </w:r>
      <w:r>
        <w:t xml:space="preserve">. The report describes information about where people come from when they fish Palm Beach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Palm Beach County</w:t>
      </w:r>
      <w:r>
        <w:t xml:space="preserve">, which Vincent Encomio can provide you.</w:t>
      </w:r>
    </w:p>
    <w:p>
      <w:pPr>
        <w:pStyle w:val="BodyText"/>
      </w:pPr>
    </w:p>
    <w:bookmarkEnd w:id="22"/>
    <w:bookmarkStart w:id="25" w:name="X2246cf8d22fe2c51e2ff16ca93b3f0f3e174a57"/>
    <w:p>
      <w:pPr>
        <w:pStyle w:val="Heading3"/>
      </w:pPr>
      <w:r>
        <w:t xml:space="preserve">Where people come from to fish Palm Beach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565"/>
        <w:gridCol w:w="552"/>
        <w:gridCol w:w="2210"/>
        <w:gridCol w:w="552"/>
        <w:gridCol w:w="2486"/>
        <w:gridCol w:w="552"/>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Treasure Coast</w:t>
            </w:r>
          </w:p>
        </w:tc>
        <w:tc>
          <w:tcPr/>
          <w:p>
            <w:pPr>
              <w:pStyle w:val="Compact"/>
              <w:jc w:val="right"/>
            </w:pPr>
            <w:r>
              <w:t xml:space="preserve">Prop.</w:t>
            </w:r>
          </w:p>
        </w:tc>
        <w:tc>
          <w:tcPr/>
          <w:p>
            <w:pPr>
              <w:pStyle w:val="Compact"/>
              <w:jc w:val="left"/>
            </w:pPr>
            <w:r>
              <w:t xml:space="preserve">Trips to Palm Beach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New York</w:t>
            </w:r>
          </w:p>
        </w:tc>
        <w:tc>
          <w:tcPr/>
          <w:p>
            <w:pPr>
              <w:pStyle w:val="Compact"/>
              <w:jc w:val="right"/>
            </w:pPr>
            <w:r>
              <w:t xml:space="preserve">0.132</w:t>
            </w:r>
          </w:p>
        </w:tc>
        <w:tc>
          <w:tcPr/>
          <w:p>
            <w:pPr>
              <w:pStyle w:val="Compact"/>
              <w:jc w:val="left"/>
            </w:pPr>
            <w:r>
              <w:t xml:space="preserve">New York</w:t>
            </w:r>
          </w:p>
        </w:tc>
        <w:tc>
          <w:tcPr/>
          <w:p>
            <w:pPr>
              <w:pStyle w:val="Compact"/>
              <w:jc w:val="right"/>
            </w:pPr>
            <w:r>
              <w:t xml:space="preserve">0.100</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0.072</w:t>
            </w:r>
          </w:p>
        </w:tc>
        <w:tc>
          <w:tcPr/>
          <w:p>
            <w:pPr>
              <w:pStyle w:val="Compact"/>
              <w:jc w:val="left"/>
            </w:pPr>
            <w:r>
              <w:t xml:space="preserve">Not Available</w:t>
            </w:r>
          </w:p>
        </w:tc>
        <w:tc>
          <w:tcPr/>
          <w:p>
            <w:pPr>
              <w:pStyle w:val="Compact"/>
              <w:jc w:val="right"/>
            </w:pPr>
            <w:r>
              <w:t xml:space="preserve">0.090</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Ohio</w:t>
            </w:r>
          </w:p>
        </w:tc>
        <w:tc>
          <w:tcPr/>
          <w:p>
            <w:pPr>
              <w:pStyle w:val="Compact"/>
              <w:jc w:val="right"/>
            </w:pPr>
            <w:r>
              <w:t xml:space="preserve">0.068</w:t>
            </w:r>
          </w:p>
        </w:tc>
        <w:tc>
          <w:tcPr/>
          <w:p>
            <w:pPr>
              <w:pStyle w:val="Compact"/>
              <w:jc w:val="left"/>
            </w:pPr>
            <w:r>
              <w:t xml:space="preserve">New Jersey</w:t>
            </w:r>
          </w:p>
        </w:tc>
        <w:tc>
          <w:tcPr/>
          <w:p>
            <w:pPr>
              <w:pStyle w:val="Compact"/>
              <w:jc w:val="right"/>
            </w:pPr>
            <w:r>
              <w:t xml:space="preserve">0.068</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New Jersey</w:t>
            </w:r>
          </w:p>
        </w:tc>
        <w:tc>
          <w:tcPr/>
          <w:p>
            <w:pPr>
              <w:pStyle w:val="Compact"/>
              <w:jc w:val="right"/>
            </w:pPr>
            <w:r>
              <w:t xml:space="preserve">0.067</w:t>
            </w:r>
          </w:p>
        </w:tc>
        <w:tc>
          <w:tcPr/>
          <w:p>
            <w:pPr>
              <w:pStyle w:val="Compact"/>
              <w:jc w:val="left"/>
            </w:pPr>
            <w:r>
              <w:t xml:space="preserve">Georgia</w:t>
            </w:r>
          </w:p>
        </w:tc>
        <w:tc>
          <w:tcPr/>
          <w:p>
            <w:pPr>
              <w:pStyle w:val="Compact"/>
              <w:jc w:val="right"/>
            </w:pPr>
            <w:r>
              <w:t xml:space="preserve">0.055</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Georgia</w:t>
            </w:r>
          </w:p>
        </w:tc>
        <w:tc>
          <w:tcPr/>
          <w:p>
            <w:pPr>
              <w:pStyle w:val="Compact"/>
              <w:jc w:val="right"/>
            </w:pPr>
            <w:r>
              <w:t xml:space="preserve">0.058</w:t>
            </w:r>
          </w:p>
        </w:tc>
        <w:tc>
          <w:tcPr/>
          <w:p>
            <w:pPr>
              <w:pStyle w:val="Compact"/>
              <w:jc w:val="left"/>
            </w:pPr>
            <w:r>
              <w:t xml:space="preserve">Michigan</w:t>
            </w:r>
          </w:p>
        </w:tc>
        <w:tc>
          <w:tcPr/>
          <w:p>
            <w:pPr>
              <w:pStyle w:val="Compact"/>
              <w:jc w:val="right"/>
            </w:pPr>
            <w:r>
              <w:t xml:space="preserve">0.049</w:t>
            </w:r>
          </w:p>
        </w:tc>
      </w:tr>
    </w:tbl>
    <w:p>
      <w:pPr>
        <w:pStyle w:val="BodyText"/>
      </w:pPr>
      <w:r>
        <w:rPr>
          <w:b/>
          <w:bCs/>
        </w:rPr>
        <w:t xml:space="preserve">Table 1. The origins of out-of-state angler trips for Florida, the region, and specifically Palm Beach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Palm Beach County. Comparing the columns shows how Palm Beach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Broward</w:t>
            </w:r>
          </w:p>
        </w:tc>
        <w:tc>
          <w:tcPr/>
          <w:p>
            <w:pPr>
              <w:pStyle w:val="Compact"/>
              <w:jc w:val="right"/>
            </w:pPr>
            <w:r>
              <w:t xml:space="preserve">0.261</w:t>
            </w:r>
          </w:p>
        </w:tc>
        <w:tc>
          <w:tcPr/>
          <w:p>
            <w:pPr>
              <w:pStyle w:val="Compact"/>
              <w:jc w:val="left"/>
            </w:pPr>
            <w:r>
              <w:t xml:space="preserve">Palm Beach</w:t>
            </w:r>
          </w:p>
        </w:tc>
        <w:tc>
          <w:tcPr/>
          <w:p>
            <w:pPr>
              <w:pStyle w:val="Compact"/>
              <w:jc w:val="right"/>
            </w:pPr>
            <w:r>
              <w:t xml:space="preserve">0.821</w:t>
            </w:r>
          </w:p>
        </w:tc>
      </w:tr>
      <w:tr>
        <w:tc>
          <w:tcPr/>
          <w:p>
            <w:pPr>
              <w:pStyle w:val="Compact"/>
              <w:jc w:val="left"/>
            </w:pPr>
            <w:r>
              <w:t xml:space="preserve">Martin</w:t>
            </w:r>
          </w:p>
        </w:tc>
        <w:tc>
          <w:tcPr/>
          <w:p>
            <w:pPr>
              <w:pStyle w:val="Compact"/>
              <w:jc w:val="right"/>
            </w:pPr>
            <w:r>
              <w:t xml:space="preserve">0.191</w:t>
            </w:r>
          </w:p>
        </w:tc>
        <w:tc>
          <w:tcPr/>
          <w:p>
            <w:pPr>
              <w:pStyle w:val="Compact"/>
              <w:jc w:val="left"/>
            </w:pPr>
            <w:r>
              <w:t xml:space="preserve">Broward</w:t>
            </w:r>
          </w:p>
        </w:tc>
        <w:tc>
          <w:tcPr/>
          <w:p>
            <w:pPr>
              <w:pStyle w:val="Compact"/>
              <w:jc w:val="right"/>
            </w:pPr>
            <w:r>
              <w:t xml:space="preserve">0.047</w:t>
            </w:r>
          </w:p>
        </w:tc>
      </w:tr>
      <w:tr>
        <w:tc>
          <w:tcPr/>
          <w:p>
            <w:pPr>
              <w:pStyle w:val="Compact"/>
              <w:jc w:val="left"/>
            </w:pPr>
            <w:r>
              <w:t xml:space="preserve">St Lucie</w:t>
            </w:r>
          </w:p>
        </w:tc>
        <w:tc>
          <w:tcPr/>
          <w:p>
            <w:pPr>
              <w:pStyle w:val="Compact"/>
              <w:jc w:val="right"/>
            </w:pPr>
            <w:r>
              <w:t xml:space="preserve">0.092</w:t>
            </w:r>
          </w:p>
        </w:tc>
        <w:tc>
          <w:tcPr/>
          <w:p>
            <w:pPr>
              <w:pStyle w:val="Compact"/>
              <w:jc w:val="left"/>
            </w:pPr>
            <w:r>
              <w:t xml:space="preserve">Martin</w:t>
            </w:r>
          </w:p>
        </w:tc>
        <w:tc>
          <w:tcPr/>
          <w:p>
            <w:pPr>
              <w:pStyle w:val="Compact"/>
              <w:jc w:val="right"/>
            </w:pPr>
            <w:r>
              <w:t xml:space="preserve">0.034</w:t>
            </w:r>
          </w:p>
        </w:tc>
      </w:tr>
      <w:tr>
        <w:tc>
          <w:tcPr/>
          <w:p>
            <w:pPr>
              <w:pStyle w:val="Compact"/>
              <w:jc w:val="left"/>
            </w:pPr>
            <w:r>
              <w:t xml:space="preserve">Miami-Dade</w:t>
            </w:r>
          </w:p>
        </w:tc>
        <w:tc>
          <w:tcPr/>
          <w:p>
            <w:pPr>
              <w:pStyle w:val="Compact"/>
              <w:jc w:val="right"/>
            </w:pPr>
            <w:r>
              <w:t xml:space="preserve">0.078</w:t>
            </w:r>
          </w:p>
        </w:tc>
        <w:tc>
          <w:tcPr/>
          <w:p>
            <w:pPr>
              <w:pStyle w:val="Compact"/>
              <w:jc w:val="left"/>
            </w:pPr>
            <w:r>
              <w:t xml:space="preserve">St Lucie</w:t>
            </w:r>
          </w:p>
        </w:tc>
        <w:tc>
          <w:tcPr/>
          <w:p>
            <w:pPr>
              <w:pStyle w:val="Compact"/>
              <w:jc w:val="right"/>
            </w:pPr>
            <w:r>
              <w:t xml:space="preserve">0.016</w:t>
            </w:r>
          </w:p>
        </w:tc>
      </w:tr>
      <w:tr>
        <w:tc>
          <w:tcPr/>
          <w:p>
            <w:pPr>
              <w:pStyle w:val="Compact"/>
              <w:jc w:val="left"/>
            </w:pPr>
            <w:r>
              <w:t xml:space="preserve">Orange</w:t>
            </w:r>
          </w:p>
        </w:tc>
        <w:tc>
          <w:tcPr/>
          <w:p>
            <w:pPr>
              <w:pStyle w:val="Compact"/>
              <w:jc w:val="right"/>
            </w:pPr>
            <w:r>
              <w:t xml:space="preserve">0.043</w:t>
            </w:r>
          </w:p>
        </w:tc>
        <w:tc>
          <w:tcPr/>
          <w:p>
            <w:pPr>
              <w:pStyle w:val="Compact"/>
              <w:jc w:val="left"/>
            </w:pPr>
            <w:r>
              <w:t xml:space="preserve">Miami-Dade</w:t>
            </w:r>
          </w:p>
        </w:tc>
        <w:tc>
          <w:tcPr/>
          <w:p>
            <w:pPr>
              <w:pStyle w:val="Compact"/>
              <w:jc w:val="right"/>
            </w:pPr>
            <w:r>
              <w:t xml:space="preserve">0.014</w:t>
            </w:r>
          </w:p>
        </w:tc>
      </w:tr>
    </w:tbl>
    <w:p>
      <w:pPr>
        <w:pStyle w:val="BodyText"/>
      </w:pPr>
      <w:r>
        <w:rPr>
          <w:b/>
          <w:bCs/>
        </w:rPr>
        <w:t xml:space="preserve">Table 2. The origins of Florida resident anglers fishing in Palm Beach County, for 2014-2024.</w:t>
      </w:r>
      <w:r>
        <w:br/>
      </w:r>
      <w:r>
        <w:t xml:space="preserve">This table shows where Florida resident anglers come from when they fish Palm Beach County.</w:t>
      </w:r>
      <w:r>
        <w:t xml:space="preserve"> </w:t>
      </w:r>
      <w:r>
        <w:rPr>
          <w:b/>
          <w:bCs/>
        </w:rPr>
        <w:t xml:space="preserve">Columns 1 &amp; 2</w:t>
      </w:r>
      <w:r>
        <w:rPr>
          <w:b/>
          <w:bCs/>
        </w:rPr>
        <w:t xml:space="preserve"> </w:t>
      </w:r>
      <w:r>
        <w:t xml:space="preserve"> </w:t>
      </w:r>
      <w:r>
        <w:t xml:space="preserve">show origins of trips in Palm Beach County by anglers who are</w:t>
      </w:r>
      <w:r>
        <w:t xml:space="preserve"> </w:t>
      </w:r>
      <w:r>
        <w:rPr>
          <w:b/>
          <w:bCs/>
        </w:rPr>
        <w:t xml:space="preserve">not</w:t>
      </w:r>
      <w:r>
        <w:t xml:space="preserve"> </w:t>
      </w:r>
      <w:r>
        <w:t xml:space="preserve">residents of Palm Beach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Palm Beach County. This information can be used to identifying in-state advertising.</w:t>
      </w:r>
    </w:p>
    <w:p>
      <w:pPr>
        <w:pStyle w:val="BodyText"/>
      </w:pPr>
    </w:p>
    <w:bookmarkEnd w:id="24"/>
    <w:bookmarkEnd w:id="25"/>
    <w:bookmarkStart w:id="27" w:name="Xc474f5ddfbe2e08fb6f24f83dd5b33481a557a7"/>
    <w:p>
      <w:pPr>
        <w:pStyle w:val="Heading3"/>
      </w:pPr>
      <w:r>
        <w:t xml:space="preserve">What people fish for in Palm Beach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2072"/>
        <w:gridCol w:w="444"/>
        <w:gridCol w:w="1184"/>
        <w:gridCol w:w="444"/>
        <w:gridCol w:w="1480"/>
        <w:gridCol w:w="444"/>
        <w:gridCol w:w="1406"/>
        <w:gridCol w:w="444"/>
      </w:tblGrid>
      <w:tr>
        <w:trPr>
          <w:tblHeader w:val="on"/>
        </w:trPr>
        <w:tc>
          <w:tcPr/>
          <w:p>
            <w:pPr>
              <w:pStyle w:val="Compact"/>
              <w:jc w:val="left"/>
            </w:pPr>
            <w:r>
              <w:t xml:space="preserve">All Palm Beach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0.501</w:t>
            </w:r>
          </w:p>
        </w:tc>
        <w:tc>
          <w:tcPr/>
          <w:p>
            <w:pPr>
              <w:pStyle w:val="Compact"/>
              <w:jc w:val="left"/>
            </w:pPr>
            <w:r>
              <w:t xml:space="preserve">No Target</w:t>
            </w:r>
          </w:p>
        </w:tc>
        <w:tc>
          <w:tcPr/>
          <w:p>
            <w:pPr>
              <w:pStyle w:val="Compact"/>
              <w:jc w:val="right"/>
            </w:pPr>
            <w:r>
              <w:t xml:space="preserve">0.456</w:t>
            </w:r>
          </w:p>
        </w:tc>
        <w:tc>
          <w:tcPr/>
          <w:p>
            <w:pPr>
              <w:pStyle w:val="Compact"/>
              <w:jc w:val="left"/>
            </w:pPr>
            <w:r>
              <w:t xml:space="preserve">No Target</w:t>
            </w:r>
          </w:p>
        </w:tc>
        <w:tc>
          <w:tcPr/>
          <w:p>
            <w:pPr>
              <w:pStyle w:val="Compact"/>
              <w:jc w:val="right"/>
            </w:pPr>
            <w:r>
              <w:t xml:space="preserve">0.603</w:t>
            </w:r>
          </w:p>
        </w:tc>
        <w:tc>
          <w:tcPr/>
          <w:p>
            <w:pPr>
              <w:pStyle w:val="Compact"/>
              <w:jc w:val="left"/>
            </w:pPr>
            <w:r>
              <w:t xml:space="preserve">No Target</w:t>
            </w:r>
          </w:p>
        </w:tc>
        <w:tc>
          <w:tcPr/>
          <w:p>
            <w:pPr>
              <w:pStyle w:val="Compact"/>
              <w:jc w:val="right"/>
            </w:pPr>
            <w:r>
              <w:t xml:space="preserve">0.712</w:t>
            </w:r>
          </w:p>
        </w:tc>
      </w:tr>
      <w:tr>
        <w:tc>
          <w:tcPr/>
          <w:p>
            <w:pPr>
              <w:pStyle w:val="Compact"/>
              <w:jc w:val="left"/>
            </w:pPr>
            <w:r>
              <w:t xml:space="preserve">Dolphin</w:t>
            </w:r>
          </w:p>
        </w:tc>
        <w:tc>
          <w:tcPr/>
          <w:p>
            <w:pPr>
              <w:pStyle w:val="Compact"/>
              <w:jc w:val="right"/>
            </w:pPr>
            <w:r>
              <w:t xml:space="preserve">0.146</w:t>
            </w:r>
          </w:p>
        </w:tc>
        <w:tc>
          <w:tcPr/>
          <w:p>
            <w:pPr>
              <w:pStyle w:val="Compact"/>
              <w:jc w:val="left"/>
            </w:pPr>
            <w:r>
              <w:t xml:space="preserve">Dolphin</w:t>
            </w:r>
          </w:p>
        </w:tc>
        <w:tc>
          <w:tcPr/>
          <w:p>
            <w:pPr>
              <w:pStyle w:val="Compact"/>
              <w:jc w:val="right"/>
            </w:pPr>
            <w:r>
              <w:t xml:space="preserve">0.169</w:t>
            </w:r>
          </w:p>
        </w:tc>
        <w:tc>
          <w:tcPr/>
          <w:p>
            <w:pPr>
              <w:pStyle w:val="Compact"/>
              <w:jc w:val="left"/>
            </w:pPr>
            <w:r>
              <w:t xml:space="preserve">Dolphin</w:t>
            </w:r>
          </w:p>
        </w:tc>
        <w:tc>
          <w:tcPr/>
          <w:p>
            <w:pPr>
              <w:pStyle w:val="Compact"/>
              <w:jc w:val="right"/>
            </w:pPr>
            <w:r>
              <w:t xml:space="preserve">0.094</w:t>
            </w:r>
          </w:p>
        </w:tc>
        <w:tc>
          <w:tcPr/>
          <w:p>
            <w:pPr>
              <w:pStyle w:val="Compact"/>
              <w:jc w:val="left"/>
            </w:pPr>
            <w:r>
              <w:t xml:space="preserve">Sailfish</w:t>
            </w:r>
          </w:p>
        </w:tc>
        <w:tc>
          <w:tcPr/>
          <w:p>
            <w:pPr>
              <w:pStyle w:val="Compact"/>
              <w:jc w:val="right"/>
            </w:pPr>
            <w:r>
              <w:t xml:space="preserve">0.068</w:t>
            </w:r>
          </w:p>
        </w:tc>
      </w:tr>
      <w:tr>
        <w:tc>
          <w:tcPr/>
          <w:p>
            <w:pPr>
              <w:pStyle w:val="Compact"/>
              <w:jc w:val="left"/>
            </w:pPr>
            <w:r>
              <w:t xml:space="preserve">Common snook</w:t>
            </w:r>
          </w:p>
        </w:tc>
        <w:tc>
          <w:tcPr/>
          <w:p>
            <w:pPr>
              <w:pStyle w:val="Compact"/>
              <w:jc w:val="right"/>
            </w:pPr>
            <w:r>
              <w:t xml:space="preserve">0.061</w:t>
            </w:r>
          </w:p>
        </w:tc>
        <w:tc>
          <w:tcPr/>
          <w:p>
            <w:pPr>
              <w:pStyle w:val="Compact"/>
              <w:jc w:val="left"/>
            </w:pPr>
            <w:r>
              <w:t xml:space="preserve">Common snook</w:t>
            </w:r>
          </w:p>
        </w:tc>
        <w:tc>
          <w:tcPr/>
          <w:p>
            <w:pPr>
              <w:pStyle w:val="Compact"/>
              <w:jc w:val="right"/>
            </w:pPr>
            <w:r>
              <w:t xml:space="preserve">0.061</w:t>
            </w:r>
          </w:p>
        </w:tc>
        <w:tc>
          <w:tcPr/>
          <w:p>
            <w:pPr>
              <w:pStyle w:val="Compact"/>
              <w:jc w:val="left"/>
            </w:pPr>
            <w:r>
              <w:t xml:space="preserve">Common snook</w:t>
            </w:r>
          </w:p>
        </w:tc>
        <w:tc>
          <w:tcPr/>
          <w:p>
            <w:pPr>
              <w:pStyle w:val="Compact"/>
              <w:jc w:val="right"/>
            </w:pPr>
            <w:r>
              <w:t xml:space="preserve">0.059</w:t>
            </w:r>
          </w:p>
        </w:tc>
        <w:tc>
          <w:tcPr/>
          <w:p>
            <w:pPr>
              <w:pStyle w:val="Compact"/>
              <w:jc w:val="left"/>
            </w:pPr>
            <w:r>
              <w:t xml:space="preserve">Dolphin</w:t>
            </w:r>
          </w:p>
        </w:tc>
        <w:tc>
          <w:tcPr/>
          <w:p>
            <w:pPr>
              <w:pStyle w:val="Compact"/>
              <w:jc w:val="right"/>
            </w:pPr>
            <w:r>
              <w:t xml:space="preserve">0.063</w:t>
            </w:r>
          </w:p>
        </w:tc>
      </w:tr>
      <w:tr>
        <w:tc>
          <w:tcPr/>
          <w:p>
            <w:pPr>
              <w:pStyle w:val="Compact"/>
              <w:jc w:val="left"/>
            </w:pPr>
            <w:r>
              <w:t xml:space="preserve">Snapper family</w:t>
            </w:r>
          </w:p>
        </w:tc>
        <w:tc>
          <w:tcPr/>
          <w:p>
            <w:pPr>
              <w:pStyle w:val="Compact"/>
              <w:jc w:val="right"/>
            </w:pPr>
            <w:r>
              <w:t xml:space="preserve">0.041</w:t>
            </w:r>
          </w:p>
        </w:tc>
        <w:tc>
          <w:tcPr/>
          <w:p>
            <w:pPr>
              <w:pStyle w:val="Compact"/>
              <w:jc w:val="left"/>
            </w:pPr>
            <w:r>
              <w:t xml:space="preserve">Snapper family</w:t>
            </w:r>
          </w:p>
        </w:tc>
        <w:tc>
          <w:tcPr/>
          <w:p>
            <w:pPr>
              <w:pStyle w:val="Compact"/>
              <w:jc w:val="right"/>
            </w:pPr>
            <w:r>
              <w:t xml:space="preserve">0.045</w:t>
            </w:r>
          </w:p>
        </w:tc>
        <w:tc>
          <w:tcPr/>
          <w:p>
            <w:pPr>
              <w:pStyle w:val="Compact"/>
              <w:jc w:val="left"/>
            </w:pPr>
            <w:r>
              <w:t xml:space="preserve">Sailfish</w:t>
            </w:r>
          </w:p>
        </w:tc>
        <w:tc>
          <w:tcPr/>
          <w:p>
            <w:pPr>
              <w:pStyle w:val="Compact"/>
              <w:jc w:val="right"/>
            </w:pPr>
            <w:r>
              <w:t xml:space="preserve">0.049</w:t>
            </w:r>
          </w:p>
        </w:tc>
        <w:tc>
          <w:tcPr/>
          <w:p>
            <w:pPr>
              <w:pStyle w:val="Compact"/>
              <w:jc w:val="left"/>
            </w:pPr>
            <w:r>
              <w:t xml:space="preserve">Common snook</w:t>
            </w:r>
          </w:p>
        </w:tc>
        <w:tc>
          <w:tcPr/>
          <w:p>
            <w:pPr>
              <w:pStyle w:val="Compact"/>
              <w:jc w:val="right"/>
            </w:pPr>
            <w:r>
              <w:t xml:space="preserve">0.030</w:t>
            </w:r>
          </w:p>
        </w:tc>
      </w:tr>
      <w:tr>
        <w:tc>
          <w:tcPr/>
          <w:p>
            <w:pPr>
              <w:pStyle w:val="Compact"/>
              <w:jc w:val="left"/>
            </w:pPr>
            <w:r>
              <w:t xml:space="preserve">Wahoo</w:t>
            </w:r>
          </w:p>
        </w:tc>
        <w:tc>
          <w:tcPr/>
          <w:p>
            <w:pPr>
              <w:pStyle w:val="Compact"/>
              <w:jc w:val="right"/>
            </w:pPr>
            <w:r>
              <w:t xml:space="preserve">0.031</w:t>
            </w:r>
          </w:p>
        </w:tc>
        <w:tc>
          <w:tcPr/>
          <w:p>
            <w:pPr>
              <w:pStyle w:val="Compact"/>
              <w:jc w:val="left"/>
            </w:pPr>
            <w:r>
              <w:t xml:space="preserve">Wahoo</w:t>
            </w:r>
          </w:p>
        </w:tc>
        <w:tc>
          <w:tcPr/>
          <w:p>
            <w:pPr>
              <w:pStyle w:val="Compact"/>
              <w:jc w:val="right"/>
            </w:pPr>
            <w:r>
              <w:t xml:space="preserve">0.036</w:t>
            </w:r>
          </w:p>
        </w:tc>
        <w:tc>
          <w:tcPr/>
          <w:p>
            <w:pPr>
              <w:pStyle w:val="Compact"/>
              <w:jc w:val="left"/>
            </w:pPr>
            <w:r>
              <w:t xml:space="preserve">Snapper family</w:t>
            </w:r>
          </w:p>
        </w:tc>
        <w:tc>
          <w:tcPr/>
          <w:p>
            <w:pPr>
              <w:pStyle w:val="Compact"/>
              <w:jc w:val="right"/>
            </w:pPr>
            <w:r>
              <w:t xml:space="preserve">0.030</w:t>
            </w:r>
          </w:p>
        </w:tc>
        <w:tc>
          <w:tcPr/>
          <w:p>
            <w:pPr>
              <w:pStyle w:val="Compact"/>
              <w:jc w:val="left"/>
            </w:pPr>
            <w:r>
              <w:t xml:space="preserve">Snapper family</w:t>
            </w:r>
          </w:p>
        </w:tc>
        <w:tc>
          <w:tcPr/>
          <w:p>
            <w:pPr>
              <w:pStyle w:val="Compact"/>
              <w:jc w:val="right"/>
            </w:pPr>
            <w:r>
              <w:t xml:space="preserve">0.020</w:t>
            </w:r>
          </w:p>
        </w:tc>
      </w:tr>
    </w:tbl>
    <w:p>
      <w:pPr>
        <w:pStyle w:val="BodyText"/>
      </w:pPr>
      <w:r>
        <w:rPr>
          <w:b/>
          <w:bCs/>
        </w:rPr>
        <w:t xml:space="preserve">Table 3. Proportions of species targeted by fishing trips made in Palm Beach County by anglers from various origins, for 2014-2024.</w:t>
      </w:r>
      <w:r>
        <w:br/>
      </w:r>
      <w:r>
        <w:t xml:space="preserve">This table shows the top 5 species anglers fish in Palm Beach County, depending on where they live.</w:t>
      </w:r>
      <w:r>
        <w:t xml:space="preserve"> </w:t>
      </w:r>
      <w:r>
        <w:rPr>
          <w:b/>
          <w:bCs/>
        </w:rPr>
        <w:t xml:space="preserve">Columns 1-2</w:t>
      </w:r>
      <w:r>
        <w:t xml:space="preserve"> </w:t>
      </w:r>
      <w:r>
        <w:t xml:space="preserve">shows what anglers fish for in Palm Beach County regardless of where they come from.</w:t>
      </w:r>
      <w:r>
        <w:t xml:space="preserve"> </w:t>
      </w:r>
      <w:r>
        <w:rPr>
          <w:b/>
          <w:bCs/>
        </w:rPr>
        <w:t xml:space="preserve">Columns 3-4</w:t>
      </w:r>
      <w:r>
        <w:t xml:space="preserve"> </w:t>
      </w:r>
      <w:r>
        <w:t xml:space="preserve">shows what Palm Beach County resident anglers fish for,</w:t>
      </w:r>
      <w:r>
        <w:t xml:space="preserve"> </w:t>
      </w:r>
      <w:r>
        <w:rPr>
          <w:b/>
          <w:bCs/>
        </w:rPr>
        <w:t xml:space="preserve">Columns 5-6</w:t>
      </w:r>
      <w:r>
        <w:t xml:space="preserve"> </w:t>
      </w:r>
      <w:r>
        <w:t xml:space="preserve">shows what anglers who live in Florida but not Palm Beach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vencomio@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7B2DDB-5917-4C58-9F2F-101435E9764C}"/>
</file>

<file path=customXml/itemProps2.xml><?xml version="1.0" encoding="utf-8"?>
<ds:datastoreItem xmlns:ds="http://schemas.openxmlformats.org/officeDocument/2006/customXml" ds:itemID="{01E9FCCE-7AD7-40BB-B631-66C4B38B2849}"/>
</file>

<file path=customXml/itemProps3.xml><?xml version="1.0" encoding="utf-8"?>
<ds:datastoreItem xmlns:ds="http://schemas.openxmlformats.org/officeDocument/2006/customXml" ds:itemID="{605967ED-DBA9-4D36-8368-08CC9ACCD59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Palm Beach County</dc:title>
  <dc:creator>Prepared for Palm Beach County by Ed Camp (edvcamp@ufl.edu) Assistant Professor University of Florida, and Vincent Encomio, Florida Sea Grant Extension Agent Martin and St. Lucie Counties, vencomio@ufl.edu</dc:creator>
  <cp:keywords/>
  <dcterms:created xsi:type="dcterms:W3CDTF">2025-03-13T18:52:32Z</dcterms:created>
  <dcterms:modified xsi:type="dcterms:W3CDTF">2025-03-13T18:52:32Z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