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Pasco County</w:t>
      </w:r>
    </w:p>
    <w:p>
      <w:pPr>
        <w:pStyle w:val="Author"/>
      </w:pPr>
      <w:r>
        <w:t xml:space="preserve">Prepared for Pasco County by Ed Camp (</w:t>
      </w:r>
      <w:hyperlink r:id="rId20">
        <w:r>
          <w:rPr>
            <w:rStyle w:val="Hyperlink"/>
          </w:rPr>
          <w:t xml:space="preserve">edvcamp@ufl.edu</w:t>
        </w:r>
      </w:hyperlink>
      <w:r>
        <w:t xml:space="preserve">) Assistant Professor University of Florida, and Megan Moore, Florida Sea Grant Extension Agent Hernando County,</w:t>
      </w:r>
      <w:r>
        <w:t xml:space="preserve"> </w:t>
      </w:r>
      <w:hyperlink r:id="rId21">
        <w:r>
          <w:rPr>
            <w:rStyle w:val="Hyperlink"/>
          </w:rPr>
          <w:t xml:space="preserve">me.moore@ufl.edu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Pasco County</w:t>
      </w:r>
      <w:r>
        <w:t xml:space="preserve">. The report describes information about where people come from when they fish Pasco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Pasco County</w:t>
      </w:r>
      <w:r>
        <w:t xml:space="preserve">, which Megan Moore can provide you.</w:t>
      </w:r>
    </w:p>
    <w:p>
      <w:pPr>
        <w:pStyle w:val="BodyText"/>
      </w:pPr>
    </w:p>
    <w:bookmarkEnd w:id="22"/>
    <w:bookmarkStart w:id="25" w:name="X5648c08c8cb6ba227ed3059f9400b154bb514e8"/>
    <w:p>
      <w:pPr>
        <w:pStyle w:val="Heading3"/>
      </w:pPr>
      <w:r>
        <w:t xml:space="preserve">Where people come from to fish Pasco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95"/>
        <w:gridCol w:w="633"/>
        <w:gridCol w:w="1900"/>
        <w:gridCol w:w="633"/>
        <w:gridCol w:w="2323"/>
        <w:gridCol w:w="633"/>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Big Bend</w:t>
            </w:r>
          </w:p>
        </w:tc>
        <w:tc>
          <w:tcPr/>
          <w:p>
            <w:pPr>
              <w:pStyle w:val="Compact"/>
              <w:jc w:val="right"/>
            </w:pPr>
            <w:r>
              <w:t xml:space="preserve">Prop.</w:t>
            </w:r>
          </w:p>
        </w:tc>
        <w:tc>
          <w:tcPr/>
          <w:p>
            <w:pPr>
              <w:pStyle w:val="Compact"/>
              <w:jc w:val="left"/>
            </w:pPr>
            <w:r>
              <w:t xml:space="preserve">Trips to Pasco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0.159</w:t>
            </w:r>
          </w:p>
        </w:tc>
        <w:tc>
          <w:tcPr/>
          <w:p>
            <w:pPr>
              <w:pStyle w:val="Compact"/>
              <w:jc w:val="left"/>
            </w:pPr>
            <w:r>
              <w:t xml:space="preserve">Michigan</w:t>
            </w:r>
          </w:p>
        </w:tc>
        <w:tc>
          <w:tcPr/>
          <w:p>
            <w:pPr>
              <w:pStyle w:val="Compact"/>
              <w:jc w:val="right"/>
            </w:pPr>
            <w:r>
              <w:t xml:space="preserve">0.104</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0.081</w:t>
            </w:r>
          </w:p>
        </w:tc>
        <w:tc>
          <w:tcPr/>
          <w:p>
            <w:pPr>
              <w:pStyle w:val="Compact"/>
              <w:jc w:val="left"/>
            </w:pPr>
            <w:r>
              <w:t xml:space="preserve">New York</w:t>
            </w:r>
          </w:p>
        </w:tc>
        <w:tc>
          <w:tcPr/>
          <w:p>
            <w:pPr>
              <w:pStyle w:val="Compact"/>
              <w:jc w:val="right"/>
            </w:pPr>
            <w:r>
              <w:t xml:space="preserve">0.089</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0.074</w:t>
            </w:r>
          </w:p>
        </w:tc>
        <w:tc>
          <w:tcPr/>
          <w:p>
            <w:pPr>
              <w:pStyle w:val="Compact"/>
              <w:jc w:val="left"/>
            </w:pPr>
            <w:r>
              <w:t xml:space="preserve">Illinois</w:t>
            </w:r>
          </w:p>
        </w:tc>
        <w:tc>
          <w:tcPr/>
          <w:p>
            <w:pPr>
              <w:pStyle w:val="Compact"/>
              <w:jc w:val="right"/>
            </w:pPr>
            <w:r>
              <w:t xml:space="preserve">0.070</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Pennsylvania</w:t>
            </w:r>
          </w:p>
        </w:tc>
        <w:tc>
          <w:tcPr/>
          <w:p>
            <w:pPr>
              <w:pStyle w:val="Compact"/>
              <w:jc w:val="right"/>
            </w:pPr>
            <w:r>
              <w:t xml:space="preserve">0.053</w:t>
            </w:r>
          </w:p>
        </w:tc>
        <w:tc>
          <w:tcPr/>
          <w:p>
            <w:pPr>
              <w:pStyle w:val="Compact"/>
              <w:jc w:val="left"/>
            </w:pPr>
            <w:r>
              <w:t xml:space="preserve">Not Available</w:t>
            </w:r>
          </w:p>
        </w:tc>
        <w:tc>
          <w:tcPr/>
          <w:p>
            <w:pPr>
              <w:pStyle w:val="Compact"/>
              <w:jc w:val="right"/>
            </w:pPr>
            <w:r>
              <w:t xml:space="preserve">0.066</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New York</w:t>
            </w:r>
          </w:p>
        </w:tc>
        <w:tc>
          <w:tcPr/>
          <w:p>
            <w:pPr>
              <w:pStyle w:val="Compact"/>
              <w:jc w:val="right"/>
            </w:pPr>
            <w:r>
              <w:t xml:space="preserve">0.052</w:t>
            </w:r>
          </w:p>
        </w:tc>
        <w:tc>
          <w:tcPr/>
          <w:p>
            <w:pPr>
              <w:pStyle w:val="Compact"/>
              <w:jc w:val="left"/>
            </w:pPr>
            <w:r>
              <w:t xml:space="preserve">Pennsylvania</w:t>
            </w:r>
          </w:p>
        </w:tc>
        <w:tc>
          <w:tcPr/>
          <w:p>
            <w:pPr>
              <w:pStyle w:val="Compact"/>
              <w:jc w:val="right"/>
            </w:pPr>
            <w:r>
              <w:t xml:space="preserve">0.057</w:t>
            </w:r>
          </w:p>
        </w:tc>
      </w:tr>
    </w:tbl>
    <w:p>
      <w:pPr>
        <w:pStyle w:val="BodyText"/>
      </w:pPr>
      <w:r>
        <w:rPr>
          <w:b/>
          <w:bCs/>
        </w:rPr>
        <w:t xml:space="preserve">Table 1. The origins of out-of-state angler trips for Florida, the region, and specifically Pasco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Pasco County. Comparing the columns shows how Pasco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Pinellas</w:t>
            </w:r>
          </w:p>
        </w:tc>
        <w:tc>
          <w:tcPr/>
          <w:p>
            <w:pPr>
              <w:pStyle w:val="Compact"/>
              <w:jc w:val="right"/>
            </w:pPr>
            <w:r>
              <w:t xml:space="preserve">0.364</w:t>
            </w:r>
          </w:p>
        </w:tc>
        <w:tc>
          <w:tcPr/>
          <w:p>
            <w:pPr>
              <w:pStyle w:val="Compact"/>
              <w:jc w:val="left"/>
            </w:pPr>
            <w:r>
              <w:t xml:space="preserve">Pasco</w:t>
            </w:r>
          </w:p>
        </w:tc>
        <w:tc>
          <w:tcPr/>
          <w:p>
            <w:pPr>
              <w:pStyle w:val="Compact"/>
              <w:jc w:val="right"/>
            </w:pPr>
            <w:r>
              <w:t xml:space="preserve">0.645</w:t>
            </w:r>
          </w:p>
        </w:tc>
      </w:tr>
      <w:tr>
        <w:tc>
          <w:tcPr/>
          <w:p>
            <w:pPr>
              <w:pStyle w:val="Compact"/>
              <w:jc w:val="left"/>
            </w:pPr>
            <w:r>
              <w:t xml:space="preserve">Hillsborough</w:t>
            </w:r>
          </w:p>
        </w:tc>
        <w:tc>
          <w:tcPr/>
          <w:p>
            <w:pPr>
              <w:pStyle w:val="Compact"/>
              <w:jc w:val="right"/>
            </w:pPr>
            <w:r>
              <w:t xml:space="preserve">0.328</w:t>
            </w:r>
          </w:p>
        </w:tc>
        <w:tc>
          <w:tcPr/>
          <w:p>
            <w:pPr>
              <w:pStyle w:val="Compact"/>
              <w:jc w:val="left"/>
            </w:pPr>
            <w:r>
              <w:t xml:space="preserve">Pinellas</w:t>
            </w:r>
          </w:p>
        </w:tc>
        <w:tc>
          <w:tcPr/>
          <w:p>
            <w:pPr>
              <w:pStyle w:val="Compact"/>
              <w:jc w:val="right"/>
            </w:pPr>
            <w:r>
              <w:t xml:space="preserve">0.129</w:t>
            </w:r>
          </w:p>
        </w:tc>
      </w:tr>
      <w:tr>
        <w:tc>
          <w:tcPr/>
          <w:p>
            <w:pPr>
              <w:pStyle w:val="Compact"/>
              <w:jc w:val="left"/>
            </w:pPr>
            <w:r>
              <w:t xml:space="preserve">Hernando</w:t>
            </w:r>
          </w:p>
        </w:tc>
        <w:tc>
          <w:tcPr/>
          <w:p>
            <w:pPr>
              <w:pStyle w:val="Compact"/>
              <w:jc w:val="right"/>
            </w:pPr>
            <w:r>
              <w:t xml:space="preserve">0.159</w:t>
            </w:r>
          </w:p>
        </w:tc>
        <w:tc>
          <w:tcPr/>
          <w:p>
            <w:pPr>
              <w:pStyle w:val="Compact"/>
              <w:jc w:val="left"/>
            </w:pPr>
            <w:r>
              <w:t xml:space="preserve">Hillsborough</w:t>
            </w:r>
          </w:p>
        </w:tc>
        <w:tc>
          <w:tcPr/>
          <w:p>
            <w:pPr>
              <w:pStyle w:val="Compact"/>
              <w:jc w:val="right"/>
            </w:pPr>
            <w:r>
              <w:t xml:space="preserve">0.117</w:t>
            </w:r>
          </w:p>
        </w:tc>
      </w:tr>
      <w:tr>
        <w:tc>
          <w:tcPr/>
          <w:p>
            <w:pPr>
              <w:pStyle w:val="Compact"/>
              <w:jc w:val="left"/>
            </w:pPr>
            <w:r>
              <w:t xml:space="preserve">Polk</w:t>
            </w:r>
          </w:p>
        </w:tc>
        <w:tc>
          <w:tcPr/>
          <w:p>
            <w:pPr>
              <w:pStyle w:val="Compact"/>
              <w:jc w:val="right"/>
            </w:pPr>
            <w:r>
              <w:t xml:space="preserve">0.034</w:t>
            </w:r>
          </w:p>
        </w:tc>
        <w:tc>
          <w:tcPr/>
          <w:p>
            <w:pPr>
              <w:pStyle w:val="Compact"/>
              <w:jc w:val="left"/>
            </w:pPr>
            <w:r>
              <w:t xml:space="preserve">Hernando</w:t>
            </w:r>
          </w:p>
        </w:tc>
        <w:tc>
          <w:tcPr/>
          <w:p>
            <w:pPr>
              <w:pStyle w:val="Compact"/>
              <w:jc w:val="right"/>
            </w:pPr>
            <w:r>
              <w:t xml:space="preserve">0.057</w:t>
            </w:r>
          </w:p>
        </w:tc>
      </w:tr>
      <w:tr>
        <w:tc>
          <w:tcPr/>
          <w:p>
            <w:pPr>
              <w:pStyle w:val="Compact"/>
              <w:jc w:val="left"/>
            </w:pPr>
            <w:r>
              <w:t xml:space="preserve">Citrus</w:t>
            </w:r>
          </w:p>
        </w:tc>
        <w:tc>
          <w:tcPr/>
          <w:p>
            <w:pPr>
              <w:pStyle w:val="Compact"/>
              <w:jc w:val="right"/>
            </w:pPr>
            <w:r>
              <w:t xml:space="preserve">0.016</w:t>
            </w:r>
          </w:p>
        </w:tc>
        <w:tc>
          <w:tcPr/>
          <w:p>
            <w:pPr>
              <w:pStyle w:val="Compact"/>
              <w:jc w:val="left"/>
            </w:pPr>
            <w:r>
              <w:t xml:space="preserve">Polk</w:t>
            </w:r>
          </w:p>
        </w:tc>
        <w:tc>
          <w:tcPr/>
          <w:p>
            <w:pPr>
              <w:pStyle w:val="Compact"/>
              <w:jc w:val="right"/>
            </w:pPr>
            <w:r>
              <w:t xml:space="preserve">0.012</w:t>
            </w:r>
          </w:p>
        </w:tc>
      </w:tr>
    </w:tbl>
    <w:p>
      <w:pPr>
        <w:pStyle w:val="BodyText"/>
      </w:pPr>
      <w:r>
        <w:rPr>
          <w:b/>
          <w:bCs/>
        </w:rPr>
        <w:t xml:space="preserve">Table 2. The origins of Florida resident anglers fishing in Pasco County, for 2014-2024.</w:t>
      </w:r>
      <w:r>
        <w:br/>
      </w:r>
      <w:r>
        <w:t xml:space="preserve">This table shows where Florida resident anglers come from when they fish Pasco County.</w:t>
      </w:r>
      <w:r>
        <w:t xml:space="preserve"> </w:t>
      </w:r>
      <w:r>
        <w:rPr>
          <w:b/>
          <w:bCs/>
        </w:rPr>
        <w:t xml:space="preserve">Columns 1 &amp; 2</w:t>
      </w:r>
      <w:r>
        <w:rPr>
          <w:b/>
          <w:bCs/>
        </w:rPr>
        <w:t xml:space="preserve"> </w:t>
      </w:r>
      <w:r>
        <w:t xml:space="preserve"> </w:t>
      </w:r>
      <w:r>
        <w:t xml:space="preserve">show origins of trips in Pasco County by anglers who are</w:t>
      </w:r>
      <w:r>
        <w:t xml:space="preserve"> </w:t>
      </w:r>
      <w:r>
        <w:rPr>
          <w:b/>
          <w:bCs/>
        </w:rPr>
        <w:t xml:space="preserve">not</w:t>
      </w:r>
      <w:r>
        <w:t xml:space="preserve"> </w:t>
      </w:r>
      <w:r>
        <w:t xml:space="preserve">residents of Pasco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Pasco County. This information can be used to identifying in-state advertising.</w:t>
      </w:r>
    </w:p>
    <w:p>
      <w:pPr>
        <w:pStyle w:val="BodyText"/>
      </w:pPr>
    </w:p>
    <w:bookmarkEnd w:id="24"/>
    <w:bookmarkEnd w:id="25"/>
    <w:bookmarkStart w:id="27" w:name="what-people-fish-for-in-pasco-county"/>
    <w:p>
      <w:pPr>
        <w:pStyle w:val="Heading3"/>
      </w:pPr>
      <w:r>
        <w:t xml:space="preserve">What people fish for in Pasco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768"/>
        <w:gridCol w:w="461"/>
        <w:gridCol w:w="1307"/>
        <w:gridCol w:w="461"/>
        <w:gridCol w:w="1537"/>
        <w:gridCol w:w="461"/>
        <w:gridCol w:w="1460"/>
        <w:gridCol w:w="461"/>
      </w:tblGrid>
      <w:tr>
        <w:trPr>
          <w:tblHeader w:val="on"/>
        </w:trPr>
        <w:tc>
          <w:tcPr/>
          <w:p>
            <w:pPr>
              <w:pStyle w:val="Compact"/>
              <w:jc w:val="left"/>
            </w:pPr>
            <w:r>
              <w:t xml:space="preserve">All Pasco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0.474</w:t>
            </w:r>
          </w:p>
        </w:tc>
        <w:tc>
          <w:tcPr/>
          <w:p>
            <w:pPr>
              <w:pStyle w:val="Compact"/>
              <w:jc w:val="left"/>
            </w:pPr>
            <w:r>
              <w:t xml:space="preserve">No Target</w:t>
            </w:r>
          </w:p>
        </w:tc>
        <w:tc>
          <w:tcPr/>
          <w:p>
            <w:pPr>
              <w:pStyle w:val="Compact"/>
              <w:jc w:val="right"/>
            </w:pPr>
            <w:r>
              <w:t xml:space="preserve">0.503</w:t>
            </w:r>
          </w:p>
        </w:tc>
        <w:tc>
          <w:tcPr/>
          <w:p>
            <w:pPr>
              <w:pStyle w:val="Compact"/>
              <w:jc w:val="left"/>
            </w:pPr>
            <w:r>
              <w:t xml:space="preserve">No Target</w:t>
            </w:r>
          </w:p>
        </w:tc>
        <w:tc>
          <w:tcPr/>
          <w:p>
            <w:pPr>
              <w:pStyle w:val="Compact"/>
              <w:jc w:val="right"/>
            </w:pPr>
            <w:r>
              <w:t xml:space="preserve">0.433</w:t>
            </w:r>
          </w:p>
        </w:tc>
        <w:tc>
          <w:tcPr/>
          <w:p>
            <w:pPr>
              <w:pStyle w:val="Compact"/>
              <w:jc w:val="left"/>
            </w:pPr>
            <w:r>
              <w:t xml:space="preserve">No Target</w:t>
            </w:r>
          </w:p>
        </w:tc>
        <w:tc>
          <w:tcPr/>
          <w:p>
            <w:pPr>
              <w:pStyle w:val="Compact"/>
              <w:jc w:val="right"/>
            </w:pPr>
            <w:r>
              <w:t xml:space="preserve">0.535</w:t>
            </w:r>
          </w:p>
        </w:tc>
      </w:tr>
      <w:tr>
        <w:tc>
          <w:tcPr/>
          <w:p>
            <w:pPr>
              <w:pStyle w:val="Compact"/>
              <w:jc w:val="left"/>
            </w:pPr>
            <w:r>
              <w:t xml:space="preserve">Spotted seatrout</w:t>
            </w:r>
          </w:p>
        </w:tc>
        <w:tc>
          <w:tcPr/>
          <w:p>
            <w:pPr>
              <w:pStyle w:val="Compact"/>
              <w:jc w:val="right"/>
            </w:pPr>
            <w:r>
              <w:t xml:space="preserve">0.128</w:t>
            </w:r>
          </w:p>
        </w:tc>
        <w:tc>
          <w:tcPr/>
          <w:p>
            <w:pPr>
              <w:pStyle w:val="Compact"/>
              <w:jc w:val="left"/>
            </w:pPr>
            <w:r>
              <w:t xml:space="preserve">Red drum</w:t>
            </w:r>
          </w:p>
        </w:tc>
        <w:tc>
          <w:tcPr/>
          <w:p>
            <w:pPr>
              <w:pStyle w:val="Compact"/>
              <w:jc w:val="right"/>
            </w:pPr>
            <w:r>
              <w:t xml:space="preserve">0.123</w:t>
            </w:r>
          </w:p>
        </w:tc>
        <w:tc>
          <w:tcPr/>
          <w:p>
            <w:pPr>
              <w:pStyle w:val="Compact"/>
              <w:jc w:val="left"/>
            </w:pPr>
            <w:r>
              <w:t xml:space="preserve">Spotted seatrout</w:t>
            </w:r>
          </w:p>
        </w:tc>
        <w:tc>
          <w:tcPr/>
          <w:p>
            <w:pPr>
              <w:pStyle w:val="Compact"/>
              <w:jc w:val="right"/>
            </w:pPr>
            <w:r>
              <w:t xml:space="preserve">0.142</w:t>
            </w:r>
          </w:p>
        </w:tc>
        <w:tc>
          <w:tcPr/>
          <w:p>
            <w:pPr>
              <w:pStyle w:val="Compact"/>
              <w:jc w:val="left"/>
            </w:pPr>
            <w:r>
              <w:t xml:space="preserve">Spotted seatrout</w:t>
            </w:r>
          </w:p>
        </w:tc>
        <w:tc>
          <w:tcPr/>
          <w:p>
            <w:pPr>
              <w:pStyle w:val="Compact"/>
              <w:jc w:val="right"/>
            </w:pPr>
            <w:r>
              <w:t xml:space="preserve">0.132</w:t>
            </w:r>
          </w:p>
        </w:tc>
      </w:tr>
      <w:tr>
        <w:tc>
          <w:tcPr/>
          <w:p>
            <w:pPr>
              <w:pStyle w:val="Compact"/>
              <w:jc w:val="left"/>
            </w:pPr>
            <w:r>
              <w:t xml:space="preserve">Red drum</w:t>
            </w:r>
          </w:p>
        </w:tc>
        <w:tc>
          <w:tcPr/>
          <w:p>
            <w:pPr>
              <w:pStyle w:val="Compact"/>
              <w:jc w:val="right"/>
            </w:pPr>
            <w:r>
              <w:t xml:space="preserve">0.117</w:t>
            </w:r>
          </w:p>
        </w:tc>
        <w:tc>
          <w:tcPr/>
          <w:p>
            <w:pPr>
              <w:pStyle w:val="Compact"/>
              <w:jc w:val="left"/>
            </w:pPr>
            <w:r>
              <w:t xml:space="preserve">Spotted seatrout</w:t>
            </w:r>
          </w:p>
        </w:tc>
        <w:tc>
          <w:tcPr/>
          <w:p>
            <w:pPr>
              <w:pStyle w:val="Compact"/>
              <w:jc w:val="right"/>
            </w:pPr>
            <w:r>
              <w:t xml:space="preserve">0.119</w:t>
            </w:r>
          </w:p>
        </w:tc>
        <w:tc>
          <w:tcPr/>
          <w:p>
            <w:pPr>
              <w:pStyle w:val="Compact"/>
              <w:jc w:val="left"/>
            </w:pPr>
            <w:r>
              <w:t xml:space="preserve">Red drum</w:t>
            </w:r>
          </w:p>
        </w:tc>
        <w:tc>
          <w:tcPr/>
          <w:p>
            <w:pPr>
              <w:pStyle w:val="Compact"/>
              <w:jc w:val="right"/>
            </w:pPr>
            <w:r>
              <w:t xml:space="preserve">0.108</w:t>
            </w:r>
          </w:p>
        </w:tc>
        <w:tc>
          <w:tcPr/>
          <w:p>
            <w:pPr>
              <w:pStyle w:val="Compact"/>
              <w:jc w:val="left"/>
            </w:pPr>
            <w:r>
              <w:t xml:space="preserve">White grunt</w:t>
            </w:r>
          </w:p>
        </w:tc>
        <w:tc>
          <w:tcPr/>
          <w:p>
            <w:pPr>
              <w:pStyle w:val="Compact"/>
              <w:jc w:val="right"/>
            </w:pPr>
            <w:r>
              <w:t xml:space="preserve">0.057</w:t>
            </w:r>
          </w:p>
        </w:tc>
      </w:tr>
      <w:tr>
        <w:tc>
          <w:tcPr/>
          <w:p>
            <w:pPr>
              <w:pStyle w:val="Compact"/>
              <w:jc w:val="left"/>
            </w:pPr>
            <w:r>
              <w:t xml:space="preserve">Common snook</w:t>
            </w:r>
          </w:p>
        </w:tc>
        <w:tc>
          <w:tcPr/>
          <w:p>
            <w:pPr>
              <w:pStyle w:val="Compact"/>
              <w:jc w:val="right"/>
            </w:pPr>
            <w:r>
              <w:t xml:space="preserve">0.055</w:t>
            </w:r>
          </w:p>
        </w:tc>
        <w:tc>
          <w:tcPr/>
          <w:p>
            <w:pPr>
              <w:pStyle w:val="Compact"/>
              <w:jc w:val="left"/>
            </w:pPr>
            <w:r>
              <w:t xml:space="preserve">Common snook</w:t>
            </w:r>
          </w:p>
        </w:tc>
        <w:tc>
          <w:tcPr/>
          <w:p>
            <w:pPr>
              <w:pStyle w:val="Compact"/>
              <w:jc w:val="right"/>
            </w:pPr>
            <w:r>
              <w:t xml:space="preserve">0.053</w:t>
            </w:r>
          </w:p>
        </w:tc>
        <w:tc>
          <w:tcPr/>
          <w:p>
            <w:pPr>
              <w:pStyle w:val="Compact"/>
              <w:jc w:val="left"/>
            </w:pPr>
            <w:r>
              <w:t xml:space="preserve">Gag</w:t>
            </w:r>
          </w:p>
        </w:tc>
        <w:tc>
          <w:tcPr/>
          <w:p>
            <w:pPr>
              <w:pStyle w:val="Compact"/>
              <w:jc w:val="right"/>
            </w:pPr>
            <w:r>
              <w:t xml:space="preserve">0.083</w:t>
            </w:r>
          </w:p>
        </w:tc>
        <w:tc>
          <w:tcPr/>
          <w:p>
            <w:pPr>
              <w:pStyle w:val="Compact"/>
              <w:jc w:val="left"/>
            </w:pPr>
            <w:r>
              <w:t xml:space="preserve">Gag</w:t>
            </w:r>
          </w:p>
        </w:tc>
        <w:tc>
          <w:tcPr/>
          <w:p>
            <w:pPr>
              <w:pStyle w:val="Compact"/>
              <w:jc w:val="right"/>
            </w:pPr>
            <w:r>
              <w:t xml:space="preserve">0.055</w:t>
            </w:r>
          </w:p>
        </w:tc>
      </w:tr>
      <w:tr>
        <w:tc>
          <w:tcPr/>
          <w:p>
            <w:pPr>
              <w:pStyle w:val="Compact"/>
              <w:jc w:val="left"/>
            </w:pPr>
            <w:r>
              <w:t xml:space="preserve">Gag</w:t>
            </w:r>
          </w:p>
        </w:tc>
        <w:tc>
          <w:tcPr/>
          <w:p>
            <w:pPr>
              <w:pStyle w:val="Compact"/>
              <w:jc w:val="right"/>
            </w:pPr>
            <w:r>
              <w:t xml:space="preserve">0.050</w:t>
            </w:r>
          </w:p>
        </w:tc>
        <w:tc>
          <w:tcPr/>
          <w:p>
            <w:pPr>
              <w:pStyle w:val="Compact"/>
              <w:jc w:val="left"/>
            </w:pPr>
            <w:r>
              <w:t xml:space="preserve">Florida pompano</w:t>
            </w:r>
          </w:p>
        </w:tc>
        <w:tc>
          <w:tcPr/>
          <w:p>
            <w:pPr>
              <w:pStyle w:val="Compact"/>
              <w:jc w:val="right"/>
            </w:pPr>
            <w:r>
              <w:t xml:space="preserve">0.029</w:t>
            </w:r>
          </w:p>
        </w:tc>
        <w:tc>
          <w:tcPr/>
          <w:p>
            <w:pPr>
              <w:pStyle w:val="Compact"/>
              <w:jc w:val="left"/>
            </w:pPr>
            <w:r>
              <w:t xml:space="preserve">Common snook</w:t>
            </w:r>
          </w:p>
        </w:tc>
        <w:tc>
          <w:tcPr/>
          <w:p>
            <w:pPr>
              <w:pStyle w:val="Compact"/>
              <w:jc w:val="right"/>
            </w:pPr>
            <w:r>
              <w:t xml:space="preserve">0.058</w:t>
            </w:r>
          </w:p>
        </w:tc>
        <w:tc>
          <w:tcPr/>
          <w:p>
            <w:pPr>
              <w:pStyle w:val="Compact"/>
              <w:jc w:val="left"/>
            </w:pPr>
            <w:r>
              <w:t xml:space="preserve">Red drum</w:t>
            </w:r>
          </w:p>
        </w:tc>
        <w:tc>
          <w:tcPr/>
          <w:p>
            <w:pPr>
              <w:pStyle w:val="Compact"/>
              <w:jc w:val="right"/>
            </w:pPr>
            <w:r>
              <w:t xml:space="preserve">0.055</w:t>
            </w:r>
          </w:p>
        </w:tc>
      </w:tr>
    </w:tbl>
    <w:p>
      <w:pPr>
        <w:pStyle w:val="BodyText"/>
      </w:pPr>
      <w:r>
        <w:rPr>
          <w:b/>
          <w:bCs/>
        </w:rPr>
        <w:t xml:space="preserve">Table 3. Proportions of species targeted by fishing trips made in Pasco County by anglers from various origins, for 2014-2024.</w:t>
      </w:r>
      <w:r>
        <w:br/>
      </w:r>
      <w:r>
        <w:t xml:space="preserve">This table shows the top 5 species anglers fish in Pasco County, depending on where they live.</w:t>
      </w:r>
      <w:r>
        <w:t xml:space="preserve"> </w:t>
      </w:r>
      <w:r>
        <w:rPr>
          <w:b/>
          <w:bCs/>
        </w:rPr>
        <w:t xml:space="preserve">Columns 1-2</w:t>
      </w:r>
      <w:r>
        <w:t xml:space="preserve"> </w:t>
      </w:r>
      <w:r>
        <w:t xml:space="preserve">shows what anglers fish for in Pasco County regardless of where they come from.</w:t>
      </w:r>
      <w:r>
        <w:t xml:space="preserve"> </w:t>
      </w:r>
      <w:r>
        <w:rPr>
          <w:b/>
          <w:bCs/>
        </w:rPr>
        <w:t xml:space="preserve">Columns 3-4</w:t>
      </w:r>
      <w:r>
        <w:t xml:space="preserve"> </w:t>
      </w:r>
      <w:r>
        <w:t xml:space="preserve">shows what Pasco County resident anglers fish for,</w:t>
      </w:r>
      <w:r>
        <w:t xml:space="preserve"> </w:t>
      </w:r>
      <w:r>
        <w:rPr>
          <w:b/>
          <w:bCs/>
        </w:rPr>
        <w:t xml:space="preserve">Columns 5-6</w:t>
      </w:r>
      <w:r>
        <w:t xml:space="preserve"> </w:t>
      </w:r>
      <w:r>
        <w:t xml:space="preserve">shows what anglers who live in Florida but not Pasco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me.moore@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me.moor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AB803A-00B5-49EF-8C11-6EBAC9A56EC3}"/>
</file>

<file path=customXml/itemProps2.xml><?xml version="1.0" encoding="utf-8"?>
<ds:datastoreItem xmlns:ds="http://schemas.openxmlformats.org/officeDocument/2006/customXml" ds:itemID="{3F0C6EAB-4CC8-4961-B4E7-BA4B55CB76AC}"/>
</file>

<file path=customXml/itemProps3.xml><?xml version="1.0" encoding="utf-8"?>
<ds:datastoreItem xmlns:ds="http://schemas.openxmlformats.org/officeDocument/2006/customXml" ds:itemID="{263C9931-44B6-40AA-8A18-C1FA6B99F87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Pasco County</dc:title>
  <dc:creator>Prepared for Pasco County by Ed Camp (edvcamp@ufl.edu) Assistant Professor University of Florida, and Megan Moore, Florida Sea Grant Extension Agent Hernando County, me.moore@ufl.edu</dc:creator>
  <cp:keywords/>
  <dcterms:created xsi:type="dcterms:W3CDTF">2025-03-13T18:52:49Z</dcterms:created>
  <dcterms:modified xsi:type="dcterms:W3CDTF">2025-03-13T18:52:49Z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