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Santa Rosa County</w:t>
      </w:r>
    </w:p>
    <w:p>
      <w:pPr>
        <w:pStyle w:val="Author"/>
      </w:pPr>
      <w:r>
        <w:t xml:space="preserve">Prepared for Santa Rosa County by Ed Camp (</w:t>
      </w:r>
      <w:hyperlink r:id="rId20">
        <w:r>
          <w:rPr>
            <w:rStyle w:val="Hyperlink"/>
          </w:rPr>
          <w:t xml:space="preserve">edvcamp@ufl.edu</w:t>
        </w:r>
      </w:hyperlink>
      <w:r>
        <w:t xml:space="preserve">) Assistant Professor University of Florida, and Laura Tiu, Florida Sea Grant Extension Agent Santa Rosa County,</w:t>
      </w:r>
      <w:r>
        <w:t xml:space="preserve"> </w:t>
      </w:r>
      <w:hyperlink r:id="rId21">
        <w:r>
          <w:rPr>
            <w:rStyle w:val="Hyperlink"/>
          </w:rPr>
          <w:t xml:space="preserve">lgtiu@ufl.edu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Santa Rosa County</w:t>
      </w:r>
      <w:r>
        <w:t xml:space="preserve">. The report describes information about where people come from when they fish Santa Rosa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Santa Rosa County</w:t>
      </w:r>
      <w:r>
        <w:t xml:space="preserve">, which Laura Tiu can provide you.</w:t>
      </w:r>
    </w:p>
    <w:p>
      <w:pPr>
        <w:pStyle w:val="BodyText"/>
      </w:pPr>
    </w:p>
    <w:bookmarkEnd w:id="22"/>
    <w:bookmarkStart w:id="25" w:name="X9875aae8b0cbb32cdba136dbc77fb751ebb2a5a"/>
    <w:p>
      <w:pPr>
        <w:pStyle w:val="Heading3"/>
      </w:pPr>
      <w:r>
        <w:t xml:space="preserve">Where people come from to fish Santa Rosa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02"/>
        <w:gridCol w:w="565"/>
        <w:gridCol w:w="2074"/>
        <w:gridCol w:w="565"/>
        <w:gridCol w:w="2545"/>
        <w:gridCol w:w="565"/>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NW Panhandle</w:t>
            </w:r>
          </w:p>
        </w:tc>
        <w:tc>
          <w:tcPr/>
          <w:p>
            <w:pPr>
              <w:pStyle w:val="Compact"/>
              <w:jc w:val="right"/>
            </w:pPr>
            <w:r>
              <w:t xml:space="preserve">Prop.</w:t>
            </w:r>
          </w:p>
        </w:tc>
        <w:tc>
          <w:tcPr/>
          <w:p>
            <w:pPr>
              <w:pStyle w:val="Compact"/>
              <w:jc w:val="left"/>
            </w:pPr>
            <w:r>
              <w:t xml:space="preserve">Trips to Santa Rosa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Alabama</w:t>
            </w:r>
          </w:p>
        </w:tc>
        <w:tc>
          <w:tcPr/>
          <w:p>
            <w:pPr>
              <w:pStyle w:val="Compact"/>
              <w:jc w:val="right"/>
            </w:pPr>
            <w:r>
              <w:t xml:space="preserve">0.168</w:t>
            </w:r>
          </w:p>
        </w:tc>
        <w:tc>
          <w:tcPr/>
          <w:p>
            <w:pPr>
              <w:pStyle w:val="Compact"/>
              <w:jc w:val="left"/>
            </w:pPr>
            <w:r>
              <w:t xml:space="preserve">Alabama</w:t>
            </w:r>
          </w:p>
        </w:tc>
        <w:tc>
          <w:tcPr/>
          <w:p>
            <w:pPr>
              <w:pStyle w:val="Compact"/>
              <w:jc w:val="right"/>
            </w:pPr>
            <w:r>
              <w:t xml:space="preserve">0.192</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Georgia</w:t>
            </w:r>
          </w:p>
        </w:tc>
        <w:tc>
          <w:tcPr/>
          <w:p>
            <w:pPr>
              <w:pStyle w:val="Compact"/>
              <w:jc w:val="right"/>
            </w:pPr>
            <w:r>
              <w:t xml:space="preserve">0.135</w:t>
            </w:r>
          </w:p>
        </w:tc>
        <w:tc>
          <w:tcPr/>
          <w:p>
            <w:pPr>
              <w:pStyle w:val="Compact"/>
              <w:jc w:val="left"/>
            </w:pPr>
            <w:r>
              <w:t xml:space="preserve">Georgia</w:t>
            </w:r>
          </w:p>
        </w:tc>
        <w:tc>
          <w:tcPr/>
          <w:p>
            <w:pPr>
              <w:pStyle w:val="Compact"/>
              <w:jc w:val="right"/>
            </w:pPr>
            <w:r>
              <w:t xml:space="preserve">0.137</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Texas</w:t>
            </w:r>
          </w:p>
        </w:tc>
        <w:tc>
          <w:tcPr/>
          <w:p>
            <w:pPr>
              <w:pStyle w:val="Compact"/>
              <w:jc w:val="right"/>
            </w:pPr>
            <w:r>
              <w:t xml:space="preserve">0.113</w:t>
            </w:r>
          </w:p>
        </w:tc>
        <w:tc>
          <w:tcPr/>
          <w:p>
            <w:pPr>
              <w:pStyle w:val="Compact"/>
              <w:jc w:val="left"/>
            </w:pPr>
            <w:r>
              <w:t xml:space="preserve">Texas</w:t>
            </w:r>
          </w:p>
        </w:tc>
        <w:tc>
          <w:tcPr/>
          <w:p>
            <w:pPr>
              <w:pStyle w:val="Compact"/>
              <w:jc w:val="right"/>
            </w:pPr>
            <w:r>
              <w:t xml:space="preserve">0.114</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Tennessee</w:t>
            </w:r>
          </w:p>
        </w:tc>
        <w:tc>
          <w:tcPr/>
          <w:p>
            <w:pPr>
              <w:pStyle w:val="Compact"/>
              <w:jc w:val="right"/>
            </w:pPr>
            <w:r>
              <w:t xml:space="preserve">0.104</w:t>
            </w:r>
          </w:p>
        </w:tc>
        <w:tc>
          <w:tcPr/>
          <w:p>
            <w:pPr>
              <w:pStyle w:val="Compact"/>
              <w:jc w:val="left"/>
            </w:pPr>
            <w:r>
              <w:t xml:space="preserve">Oklahoma</w:t>
            </w:r>
          </w:p>
        </w:tc>
        <w:tc>
          <w:tcPr/>
          <w:p>
            <w:pPr>
              <w:pStyle w:val="Compact"/>
              <w:jc w:val="right"/>
            </w:pPr>
            <w:r>
              <w:t xml:space="preserve">0.070</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Louisiana</w:t>
            </w:r>
          </w:p>
        </w:tc>
        <w:tc>
          <w:tcPr/>
          <w:p>
            <w:pPr>
              <w:pStyle w:val="Compact"/>
              <w:jc w:val="right"/>
            </w:pPr>
            <w:r>
              <w:t xml:space="preserve">0.045</w:t>
            </w:r>
          </w:p>
        </w:tc>
        <w:tc>
          <w:tcPr/>
          <w:p>
            <w:pPr>
              <w:pStyle w:val="Compact"/>
              <w:jc w:val="left"/>
            </w:pPr>
            <w:r>
              <w:t xml:space="preserve">Tennessee</w:t>
            </w:r>
          </w:p>
        </w:tc>
        <w:tc>
          <w:tcPr/>
          <w:p>
            <w:pPr>
              <w:pStyle w:val="Compact"/>
              <w:jc w:val="right"/>
            </w:pPr>
            <w:r>
              <w:t xml:space="preserve">0.069</w:t>
            </w:r>
          </w:p>
        </w:tc>
      </w:tr>
    </w:tbl>
    <w:p>
      <w:pPr>
        <w:pStyle w:val="BodyText"/>
      </w:pPr>
      <w:r>
        <w:rPr>
          <w:b/>
          <w:bCs/>
        </w:rPr>
        <w:t xml:space="preserve">Table 1. The origins of out-of-state angler trips for Florida, the region, and specifically Santa Rosa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Santa Rosa County. Comparing the columns shows how Santa Rosa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Escambia</w:t>
            </w:r>
          </w:p>
        </w:tc>
        <w:tc>
          <w:tcPr/>
          <w:p>
            <w:pPr>
              <w:pStyle w:val="Compact"/>
              <w:jc w:val="right"/>
            </w:pPr>
            <w:r>
              <w:t xml:space="preserve">0.670</w:t>
            </w:r>
          </w:p>
        </w:tc>
        <w:tc>
          <w:tcPr/>
          <w:p>
            <w:pPr>
              <w:pStyle w:val="Compact"/>
              <w:jc w:val="left"/>
            </w:pPr>
            <w:r>
              <w:t xml:space="preserve">Santa Rosa</w:t>
            </w:r>
          </w:p>
        </w:tc>
        <w:tc>
          <w:tcPr/>
          <w:p>
            <w:pPr>
              <w:pStyle w:val="Compact"/>
              <w:jc w:val="right"/>
            </w:pPr>
            <w:r>
              <w:t xml:space="preserve">0.684</w:t>
            </w:r>
          </w:p>
        </w:tc>
      </w:tr>
      <w:tr>
        <w:tc>
          <w:tcPr/>
          <w:p>
            <w:pPr>
              <w:pStyle w:val="Compact"/>
              <w:jc w:val="left"/>
            </w:pPr>
            <w:r>
              <w:t xml:space="preserve">Okaloosa</w:t>
            </w:r>
          </w:p>
        </w:tc>
        <w:tc>
          <w:tcPr/>
          <w:p>
            <w:pPr>
              <w:pStyle w:val="Compact"/>
              <w:jc w:val="right"/>
            </w:pPr>
            <w:r>
              <w:t xml:space="preserve">0.229</w:t>
            </w:r>
          </w:p>
        </w:tc>
        <w:tc>
          <w:tcPr/>
          <w:p>
            <w:pPr>
              <w:pStyle w:val="Compact"/>
              <w:jc w:val="left"/>
            </w:pPr>
            <w:r>
              <w:t xml:space="preserve">Escambia</w:t>
            </w:r>
          </w:p>
        </w:tc>
        <w:tc>
          <w:tcPr/>
          <w:p>
            <w:pPr>
              <w:pStyle w:val="Compact"/>
              <w:jc w:val="right"/>
            </w:pPr>
            <w:r>
              <w:t xml:space="preserve">0.212</w:t>
            </w:r>
          </w:p>
        </w:tc>
      </w:tr>
      <w:tr>
        <w:tc>
          <w:tcPr/>
          <w:p>
            <w:pPr>
              <w:pStyle w:val="Compact"/>
              <w:jc w:val="left"/>
            </w:pPr>
            <w:r>
              <w:t xml:space="preserve">Walton</w:t>
            </w:r>
          </w:p>
        </w:tc>
        <w:tc>
          <w:tcPr/>
          <w:p>
            <w:pPr>
              <w:pStyle w:val="Compact"/>
              <w:jc w:val="right"/>
            </w:pPr>
            <w:r>
              <w:t xml:space="preserve">0.014</w:t>
            </w:r>
          </w:p>
        </w:tc>
        <w:tc>
          <w:tcPr/>
          <w:p>
            <w:pPr>
              <w:pStyle w:val="Compact"/>
              <w:jc w:val="left"/>
            </w:pPr>
            <w:r>
              <w:t xml:space="preserve">Okaloosa</w:t>
            </w:r>
          </w:p>
        </w:tc>
        <w:tc>
          <w:tcPr/>
          <w:p>
            <w:pPr>
              <w:pStyle w:val="Compact"/>
              <w:jc w:val="right"/>
            </w:pPr>
            <w:r>
              <w:t xml:space="preserve">0.072</w:t>
            </w:r>
          </w:p>
        </w:tc>
      </w:tr>
      <w:tr>
        <w:tc>
          <w:tcPr/>
          <w:p>
            <w:pPr>
              <w:pStyle w:val="Compact"/>
              <w:jc w:val="left"/>
            </w:pPr>
            <w:r>
              <w:t xml:space="preserve">Duval</w:t>
            </w:r>
          </w:p>
        </w:tc>
        <w:tc>
          <w:tcPr/>
          <w:p>
            <w:pPr>
              <w:pStyle w:val="Compact"/>
              <w:jc w:val="right"/>
            </w:pPr>
            <w:r>
              <w:t xml:space="preserve">0.011</w:t>
            </w:r>
          </w:p>
        </w:tc>
        <w:tc>
          <w:tcPr/>
          <w:p>
            <w:pPr>
              <w:pStyle w:val="Compact"/>
              <w:jc w:val="left"/>
            </w:pPr>
            <w:r>
              <w:t xml:space="preserve">Walton</w:t>
            </w:r>
          </w:p>
        </w:tc>
        <w:tc>
          <w:tcPr/>
          <w:p>
            <w:pPr>
              <w:pStyle w:val="Compact"/>
              <w:jc w:val="right"/>
            </w:pPr>
            <w:r>
              <w:t xml:space="preserve">0.005</w:t>
            </w:r>
          </w:p>
        </w:tc>
      </w:tr>
      <w:tr>
        <w:tc>
          <w:tcPr/>
          <w:p>
            <w:pPr>
              <w:pStyle w:val="Compact"/>
              <w:jc w:val="left"/>
            </w:pPr>
            <w:r>
              <w:t xml:space="preserve">Charlotte</w:t>
            </w:r>
          </w:p>
        </w:tc>
        <w:tc>
          <w:tcPr/>
          <w:p>
            <w:pPr>
              <w:pStyle w:val="Compact"/>
              <w:jc w:val="right"/>
            </w:pPr>
            <w:r>
              <w:t xml:space="preserve">0.007</w:t>
            </w:r>
          </w:p>
        </w:tc>
        <w:tc>
          <w:tcPr/>
          <w:p>
            <w:pPr>
              <w:pStyle w:val="Compact"/>
              <w:jc w:val="left"/>
            </w:pPr>
            <w:r>
              <w:t xml:space="preserve">Duval</w:t>
            </w:r>
          </w:p>
        </w:tc>
        <w:tc>
          <w:tcPr/>
          <w:p>
            <w:pPr>
              <w:pStyle w:val="Compact"/>
              <w:jc w:val="right"/>
            </w:pPr>
            <w:r>
              <w:t xml:space="preserve">0.003</w:t>
            </w:r>
          </w:p>
        </w:tc>
      </w:tr>
    </w:tbl>
    <w:p>
      <w:pPr>
        <w:pStyle w:val="BodyText"/>
      </w:pPr>
      <w:r>
        <w:rPr>
          <w:b/>
          <w:bCs/>
        </w:rPr>
        <w:t xml:space="preserve">Table 2. The origins of Florida resident anglers fishing in Santa Rosa County, for 2014-2024.</w:t>
      </w:r>
      <w:r>
        <w:br/>
      </w:r>
      <w:r>
        <w:t xml:space="preserve">This table shows where Florida resident anglers come from when they fish Santa Rosa County.</w:t>
      </w:r>
      <w:r>
        <w:t xml:space="preserve"> </w:t>
      </w:r>
      <w:r>
        <w:rPr>
          <w:b/>
          <w:bCs/>
        </w:rPr>
        <w:t xml:space="preserve">Columns 1 &amp; 2</w:t>
      </w:r>
      <w:r>
        <w:rPr>
          <w:b/>
          <w:bCs/>
        </w:rPr>
        <w:t xml:space="preserve"> </w:t>
      </w:r>
      <w:r>
        <w:t xml:space="preserve"> </w:t>
      </w:r>
      <w:r>
        <w:t xml:space="preserve">show origins of trips in Santa Rosa County by anglers who are</w:t>
      </w:r>
      <w:r>
        <w:t xml:space="preserve"> </w:t>
      </w:r>
      <w:r>
        <w:rPr>
          <w:b/>
          <w:bCs/>
        </w:rPr>
        <w:t xml:space="preserve">not</w:t>
      </w:r>
      <w:r>
        <w:t xml:space="preserve"> </w:t>
      </w:r>
      <w:r>
        <w:t xml:space="preserve">residents of Santa Rosa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Santa Rosa County. This information can be used to identifying in-state advertising.</w:t>
      </w:r>
    </w:p>
    <w:p>
      <w:pPr>
        <w:pStyle w:val="BodyText"/>
      </w:pPr>
    </w:p>
    <w:bookmarkEnd w:id="24"/>
    <w:bookmarkEnd w:id="25"/>
    <w:bookmarkStart w:id="27" w:name="X5bec03e39f3b3ee382979ec59574a15222e4820"/>
    <w:p>
      <w:pPr>
        <w:pStyle w:val="Heading3"/>
      </w:pPr>
      <w:r>
        <w:t xml:space="preserve">What people fish for in Santa Rosa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2053"/>
        <w:gridCol w:w="440"/>
        <w:gridCol w:w="1246"/>
        <w:gridCol w:w="440"/>
        <w:gridCol w:w="1466"/>
        <w:gridCol w:w="440"/>
        <w:gridCol w:w="1393"/>
        <w:gridCol w:w="440"/>
      </w:tblGrid>
      <w:tr>
        <w:trPr>
          <w:tblHeader w:val="on"/>
        </w:trPr>
        <w:tc>
          <w:tcPr/>
          <w:p>
            <w:pPr>
              <w:pStyle w:val="Compact"/>
              <w:jc w:val="left"/>
            </w:pPr>
            <w:r>
              <w:t xml:space="preserve">All Santa Rosa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0.422</w:t>
            </w:r>
          </w:p>
        </w:tc>
        <w:tc>
          <w:tcPr/>
          <w:p>
            <w:pPr>
              <w:pStyle w:val="Compact"/>
              <w:jc w:val="left"/>
            </w:pPr>
            <w:r>
              <w:t xml:space="preserve">No Target</w:t>
            </w:r>
          </w:p>
        </w:tc>
        <w:tc>
          <w:tcPr/>
          <w:p>
            <w:pPr>
              <w:pStyle w:val="Compact"/>
              <w:jc w:val="right"/>
            </w:pPr>
            <w:r>
              <w:t xml:space="preserve">0.388</w:t>
            </w:r>
          </w:p>
        </w:tc>
        <w:tc>
          <w:tcPr/>
          <w:p>
            <w:pPr>
              <w:pStyle w:val="Compact"/>
              <w:jc w:val="left"/>
            </w:pPr>
            <w:r>
              <w:t xml:space="preserve">No Target</w:t>
            </w:r>
          </w:p>
        </w:tc>
        <w:tc>
          <w:tcPr/>
          <w:p>
            <w:pPr>
              <w:pStyle w:val="Compact"/>
              <w:jc w:val="right"/>
            </w:pPr>
            <w:r>
              <w:t xml:space="preserve">0.457</w:t>
            </w:r>
          </w:p>
        </w:tc>
        <w:tc>
          <w:tcPr/>
          <w:p>
            <w:pPr>
              <w:pStyle w:val="Compact"/>
              <w:jc w:val="left"/>
            </w:pPr>
            <w:r>
              <w:t xml:space="preserve">No Target</w:t>
            </w:r>
          </w:p>
        </w:tc>
        <w:tc>
          <w:tcPr/>
          <w:p>
            <w:pPr>
              <w:pStyle w:val="Compact"/>
              <w:jc w:val="right"/>
            </w:pPr>
            <w:r>
              <w:t xml:space="preserve">0.532</w:t>
            </w:r>
          </w:p>
        </w:tc>
      </w:tr>
      <w:tr>
        <w:tc>
          <w:tcPr/>
          <w:p>
            <w:pPr>
              <w:pStyle w:val="Compact"/>
              <w:jc w:val="left"/>
            </w:pPr>
            <w:r>
              <w:t xml:space="preserve">Red drum</w:t>
            </w:r>
          </w:p>
        </w:tc>
        <w:tc>
          <w:tcPr/>
          <w:p>
            <w:pPr>
              <w:pStyle w:val="Compact"/>
              <w:jc w:val="right"/>
            </w:pPr>
            <w:r>
              <w:t xml:space="preserve">0.121</w:t>
            </w:r>
          </w:p>
        </w:tc>
        <w:tc>
          <w:tcPr/>
          <w:p>
            <w:pPr>
              <w:pStyle w:val="Compact"/>
              <w:jc w:val="left"/>
            </w:pPr>
            <w:r>
              <w:t xml:space="preserve">Red drum</w:t>
            </w:r>
          </w:p>
        </w:tc>
        <w:tc>
          <w:tcPr/>
          <w:p>
            <w:pPr>
              <w:pStyle w:val="Compact"/>
              <w:jc w:val="right"/>
            </w:pPr>
            <w:r>
              <w:t xml:space="preserve">0.130</w:t>
            </w:r>
          </w:p>
        </w:tc>
        <w:tc>
          <w:tcPr/>
          <w:p>
            <w:pPr>
              <w:pStyle w:val="Compact"/>
              <w:jc w:val="left"/>
            </w:pPr>
            <w:r>
              <w:t xml:space="preserve">Red drum</w:t>
            </w:r>
          </w:p>
        </w:tc>
        <w:tc>
          <w:tcPr/>
          <w:p>
            <w:pPr>
              <w:pStyle w:val="Compact"/>
              <w:jc w:val="right"/>
            </w:pPr>
            <w:r>
              <w:t xml:space="preserve">0.112</w:t>
            </w:r>
          </w:p>
        </w:tc>
        <w:tc>
          <w:tcPr/>
          <w:p>
            <w:pPr>
              <w:pStyle w:val="Compact"/>
              <w:jc w:val="left"/>
            </w:pPr>
            <w:r>
              <w:t xml:space="preserve">Red drum</w:t>
            </w:r>
          </w:p>
        </w:tc>
        <w:tc>
          <w:tcPr/>
          <w:p>
            <w:pPr>
              <w:pStyle w:val="Compact"/>
              <w:jc w:val="right"/>
            </w:pPr>
            <w:r>
              <w:t xml:space="preserve">0.099</w:t>
            </w:r>
          </w:p>
        </w:tc>
      </w:tr>
      <w:tr>
        <w:tc>
          <w:tcPr/>
          <w:p>
            <w:pPr>
              <w:pStyle w:val="Compact"/>
              <w:jc w:val="left"/>
            </w:pPr>
            <w:r>
              <w:t xml:space="preserve">Red snapper</w:t>
            </w:r>
          </w:p>
        </w:tc>
        <w:tc>
          <w:tcPr/>
          <w:p>
            <w:pPr>
              <w:pStyle w:val="Compact"/>
              <w:jc w:val="right"/>
            </w:pPr>
            <w:r>
              <w:t xml:space="preserve">0.086</w:t>
            </w:r>
          </w:p>
        </w:tc>
        <w:tc>
          <w:tcPr/>
          <w:p>
            <w:pPr>
              <w:pStyle w:val="Compact"/>
              <w:jc w:val="left"/>
            </w:pPr>
            <w:r>
              <w:t xml:space="preserve">Red snapper</w:t>
            </w:r>
          </w:p>
        </w:tc>
        <w:tc>
          <w:tcPr/>
          <w:p>
            <w:pPr>
              <w:pStyle w:val="Compact"/>
              <w:jc w:val="right"/>
            </w:pPr>
            <w:r>
              <w:t xml:space="preserve">0.105</w:t>
            </w:r>
          </w:p>
        </w:tc>
        <w:tc>
          <w:tcPr/>
          <w:p>
            <w:pPr>
              <w:pStyle w:val="Compact"/>
              <w:jc w:val="left"/>
            </w:pPr>
            <w:r>
              <w:t xml:space="preserve">Spanish mackerel</w:t>
            </w:r>
          </w:p>
        </w:tc>
        <w:tc>
          <w:tcPr/>
          <w:p>
            <w:pPr>
              <w:pStyle w:val="Compact"/>
              <w:jc w:val="right"/>
            </w:pPr>
            <w:r>
              <w:t xml:space="preserve">0.076</w:t>
            </w:r>
          </w:p>
        </w:tc>
        <w:tc>
          <w:tcPr/>
          <w:p>
            <w:pPr>
              <w:pStyle w:val="Compact"/>
              <w:jc w:val="left"/>
            </w:pPr>
            <w:r>
              <w:t xml:space="preserve">Red snapper</w:t>
            </w:r>
          </w:p>
        </w:tc>
        <w:tc>
          <w:tcPr/>
          <w:p>
            <w:pPr>
              <w:pStyle w:val="Compact"/>
              <w:jc w:val="right"/>
            </w:pPr>
            <w:r>
              <w:t xml:space="preserve">0.085</w:t>
            </w:r>
          </w:p>
        </w:tc>
      </w:tr>
      <w:tr>
        <w:tc>
          <w:tcPr/>
          <w:p>
            <w:pPr>
              <w:pStyle w:val="Compact"/>
              <w:jc w:val="left"/>
            </w:pPr>
            <w:r>
              <w:t xml:space="preserve">Spanish mackerel</w:t>
            </w:r>
          </w:p>
        </w:tc>
        <w:tc>
          <w:tcPr/>
          <w:p>
            <w:pPr>
              <w:pStyle w:val="Compact"/>
              <w:jc w:val="right"/>
            </w:pPr>
            <w:r>
              <w:t xml:space="preserve">0.073</w:t>
            </w:r>
          </w:p>
        </w:tc>
        <w:tc>
          <w:tcPr/>
          <w:p>
            <w:pPr>
              <w:pStyle w:val="Compact"/>
              <w:jc w:val="left"/>
            </w:pPr>
            <w:r>
              <w:t xml:space="preserve">King mackerel</w:t>
            </w:r>
          </w:p>
        </w:tc>
        <w:tc>
          <w:tcPr/>
          <w:p>
            <w:pPr>
              <w:pStyle w:val="Compact"/>
              <w:jc w:val="right"/>
            </w:pPr>
            <w:r>
              <w:t xml:space="preserve">0.076</w:t>
            </w:r>
          </w:p>
        </w:tc>
        <w:tc>
          <w:tcPr/>
          <w:p>
            <w:pPr>
              <w:pStyle w:val="Compact"/>
              <w:jc w:val="left"/>
            </w:pPr>
            <w:r>
              <w:t xml:space="preserve">Red snapper</w:t>
            </w:r>
          </w:p>
        </w:tc>
        <w:tc>
          <w:tcPr/>
          <w:p>
            <w:pPr>
              <w:pStyle w:val="Compact"/>
              <w:jc w:val="right"/>
            </w:pPr>
            <w:r>
              <w:t xml:space="preserve">0.067</w:t>
            </w:r>
          </w:p>
        </w:tc>
        <w:tc>
          <w:tcPr/>
          <w:p>
            <w:pPr>
              <w:pStyle w:val="Compact"/>
              <w:jc w:val="left"/>
            </w:pPr>
            <w:r>
              <w:t xml:space="preserve">Spanish mackerel</w:t>
            </w:r>
          </w:p>
        </w:tc>
        <w:tc>
          <w:tcPr/>
          <w:p>
            <w:pPr>
              <w:pStyle w:val="Compact"/>
              <w:jc w:val="right"/>
            </w:pPr>
            <w:r>
              <w:t xml:space="preserve">0.084</w:t>
            </w:r>
          </w:p>
        </w:tc>
      </w:tr>
      <w:tr>
        <w:tc>
          <w:tcPr/>
          <w:p>
            <w:pPr>
              <w:pStyle w:val="Compact"/>
              <w:jc w:val="left"/>
            </w:pPr>
            <w:r>
              <w:t xml:space="preserve">King mackerel</w:t>
            </w:r>
          </w:p>
        </w:tc>
        <w:tc>
          <w:tcPr/>
          <w:p>
            <w:pPr>
              <w:pStyle w:val="Compact"/>
              <w:jc w:val="right"/>
            </w:pPr>
            <w:r>
              <w:t xml:space="preserve">0.067</w:t>
            </w:r>
          </w:p>
        </w:tc>
        <w:tc>
          <w:tcPr/>
          <w:p>
            <w:pPr>
              <w:pStyle w:val="Compact"/>
              <w:jc w:val="left"/>
            </w:pPr>
            <w:r>
              <w:t xml:space="preserve">Spanish mackerel</w:t>
            </w:r>
          </w:p>
        </w:tc>
        <w:tc>
          <w:tcPr/>
          <w:p>
            <w:pPr>
              <w:pStyle w:val="Compact"/>
              <w:jc w:val="right"/>
            </w:pPr>
            <w:r>
              <w:t xml:space="preserve">0.071</w:t>
            </w:r>
          </w:p>
        </w:tc>
        <w:tc>
          <w:tcPr/>
          <w:p>
            <w:pPr>
              <w:pStyle w:val="Compact"/>
              <w:jc w:val="left"/>
            </w:pPr>
            <w:r>
              <w:t xml:space="preserve">King mackerel</w:t>
            </w:r>
          </w:p>
        </w:tc>
        <w:tc>
          <w:tcPr/>
          <w:p>
            <w:pPr>
              <w:pStyle w:val="Compact"/>
              <w:jc w:val="right"/>
            </w:pPr>
            <w:r>
              <w:t xml:space="preserve">0.058</w:t>
            </w:r>
          </w:p>
        </w:tc>
        <w:tc>
          <w:tcPr/>
          <w:p>
            <w:pPr>
              <w:pStyle w:val="Compact"/>
              <w:jc w:val="left"/>
            </w:pPr>
            <w:r>
              <w:t xml:space="preserve">King mackerel</w:t>
            </w:r>
          </w:p>
        </w:tc>
        <w:tc>
          <w:tcPr/>
          <w:p>
            <w:pPr>
              <w:pStyle w:val="Compact"/>
              <w:jc w:val="right"/>
            </w:pPr>
            <w:r>
              <w:t xml:space="preserve">0.050</w:t>
            </w:r>
          </w:p>
        </w:tc>
      </w:tr>
    </w:tbl>
    <w:p>
      <w:pPr>
        <w:pStyle w:val="BodyText"/>
      </w:pPr>
      <w:r>
        <w:rPr>
          <w:b/>
          <w:bCs/>
        </w:rPr>
        <w:t xml:space="preserve">Table 3. Proportions of species targeted by fishing trips made in Santa Rosa County by anglers from various origins, for 2014-2024.</w:t>
      </w:r>
      <w:r>
        <w:br/>
      </w:r>
      <w:r>
        <w:t xml:space="preserve">This table shows the top 5 species anglers fish in Santa Rosa County, depending on where they live.</w:t>
      </w:r>
      <w:r>
        <w:t xml:space="preserve"> </w:t>
      </w:r>
      <w:r>
        <w:rPr>
          <w:b/>
          <w:bCs/>
        </w:rPr>
        <w:t xml:space="preserve">Columns 1-2</w:t>
      </w:r>
      <w:r>
        <w:t xml:space="preserve"> </w:t>
      </w:r>
      <w:r>
        <w:t xml:space="preserve">shows what anglers fish for in Santa Rosa County regardless of where they come from.</w:t>
      </w:r>
      <w:r>
        <w:t xml:space="preserve"> </w:t>
      </w:r>
      <w:r>
        <w:rPr>
          <w:b/>
          <w:bCs/>
        </w:rPr>
        <w:t xml:space="preserve">Columns 3-4</w:t>
      </w:r>
      <w:r>
        <w:t xml:space="preserve"> </w:t>
      </w:r>
      <w:r>
        <w:t xml:space="preserve">shows what Santa Rosa County resident anglers fish for,</w:t>
      </w:r>
      <w:r>
        <w:t xml:space="preserve"> </w:t>
      </w:r>
      <w:r>
        <w:rPr>
          <w:b/>
          <w:bCs/>
        </w:rPr>
        <w:t xml:space="preserve">Columns 5-6</w:t>
      </w:r>
      <w:r>
        <w:t xml:space="preserve"> </w:t>
      </w:r>
      <w:r>
        <w:t xml:space="preserve">shows what anglers who live in Florida but not Santa Rosa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lgtiu@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4753E6-5652-4538-AB37-B2F9F1AB24E4}"/>
</file>

<file path=customXml/itemProps2.xml><?xml version="1.0" encoding="utf-8"?>
<ds:datastoreItem xmlns:ds="http://schemas.openxmlformats.org/officeDocument/2006/customXml" ds:itemID="{BEF46179-9EBE-4C41-8F04-68FB9206C986}"/>
</file>

<file path=customXml/itemProps3.xml><?xml version="1.0" encoding="utf-8"?>
<ds:datastoreItem xmlns:ds="http://schemas.openxmlformats.org/officeDocument/2006/customXml" ds:itemID="{8A5AE357-B6E2-4432-B620-9C3E8C640A2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Santa Rosa County</dc:title>
  <dc:creator>Prepared for Santa Rosa County by Ed Camp (edvcamp@ufl.edu) Assistant Professor University of Florida, and Laura Tiu, Florida Sea Grant Extension Agent Santa Rosa County, lgtiu@ufl.edu</dc:creator>
  <cp:keywords/>
  <dcterms:created xsi:type="dcterms:W3CDTF">2025-03-13T18:53:21Z</dcterms:created>
  <dcterms:modified xsi:type="dcterms:W3CDTF">2025-03-13T18:53:21Z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