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Sarasota County</w:t>
      </w:r>
    </w:p>
    <w:p>
      <w:pPr>
        <w:pStyle w:val="Author"/>
      </w:pPr>
      <w:r>
        <w:t xml:space="preserve">Prepared for Sarasota County by Ed Camp (</w:t>
      </w:r>
      <w:hyperlink r:id="rId20">
        <w:r>
          <w:rPr>
            <w:rStyle w:val="Hyperlink"/>
          </w:rPr>
          <w:t xml:space="preserve">edvcamp@ufl.edu</w:t>
        </w:r>
      </w:hyperlink>
      <w:r>
        <w:t xml:space="preserve">) Assistant Professor University of Florida, and Armando Ubeda, Florida Sea Grant Extension Agent Sarasota County,</w:t>
      </w:r>
      <w:r>
        <w:t xml:space="preserve"> </w:t>
      </w:r>
      <w:hyperlink r:id="rId21">
        <w:r>
          <w:rPr>
            <w:rStyle w:val="Hyperlink"/>
          </w:rPr>
          <w:t xml:space="preserve">aubeda@ufl.edu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Sarasota County</w:t>
      </w:r>
      <w:r>
        <w:t xml:space="preserve">. The report describes information about where people come from when they fish Sarasota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Sarasota County</w:t>
      </w:r>
      <w:r>
        <w:t xml:space="preserve">, which Armando Ubeda can provide you.</w:t>
      </w:r>
    </w:p>
    <w:p>
      <w:pPr>
        <w:pStyle w:val="BodyText"/>
      </w:pPr>
    </w:p>
    <w:bookmarkEnd w:id="22"/>
    <w:bookmarkStart w:id="25" w:name="X0ee9600b6d3a0121a85cc7a00dc75b984735e77"/>
    <w:p>
      <w:pPr>
        <w:pStyle w:val="Heading3"/>
      </w:pPr>
      <w:r>
        <w:t xml:space="preserve">Where people come from to fish Sarasota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704"/>
        <w:gridCol w:w="601"/>
        <w:gridCol w:w="1904"/>
        <w:gridCol w:w="601"/>
        <w:gridCol w:w="2506"/>
        <w:gridCol w:w="601"/>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Tampa Bay</w:t>
            </w:r>
          </w:p>
        </w:tc>
        <w:tc>
          <w:tcPr/>
          <w:p>
            <w:pPr>
              <w:pStyle w:val="Compact"/>
              <w:jc w:val="right"/>
            </w:pPr>
            <w:r>
              <w:t xml:space="preserve">Prop.</w:t>
            </w:r>
          </w:p>
        </w:tc>
        <w:tc>
          <w:tcPr/>
          <w:p>
            <w:pPr>
              <w:pStyle w:val="Compact"/>
              <w:jc w:val="left"/>
            </w:pPr>
            <w:r>
              <w:t xml:space="preserve">Trips to Sarasota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Not Available</w:t>
            </w:r>
          </w:p>
        </w:tc>
        <w:tc>
          <w:tcPr/>
          <w:p>
            <w:pPr>
              <w:pStyle w:val="Compact"/>
              <w:jc w:val="right"/>
            </w:pPr>
            <w:r>
              <w:t xml:space="preserve">0.084</w:t>
            </w:r>
          </w:p>
        </w:tc>
        <w:tc>
          <w:tcPr/>
          <w:p>
            <w:pPr>
              <w:pStyle w:val="Compact"/>
              <w:jc w:val="left"/>
            </w:pPr>
            <w:r>
              <w:t xml:space="preserve">Ohio</w:t>
            </w:r>
          </w:p>
        </w:tc>
        <w:tc>
          <w:tcPr/>
          <w:p>
            <w:pPr>
              <w:pStyle w:val="Compact"/>
              <w:jc w:val="right"/>
            </w:pPr>
            <w:r>
              <w:t xml:space="preserve">0.119</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0.077</w:t>
            </w:r>
          </w:p>
        </w:tc>
        <w:tc>
          <w:tcPr/>
          <w:p>
            <w:pPr>
              <w:pStyle w:val="Compact"/>
              <w:jc w:val="left"/>
            </w:pPr>
            <w:r>
              <w:t xml:space="preserve">Not Available</w:t>
            </w:r>
          </w:p>
        </w:tc>
        <w:tc>
          <w:tcPr/>
          <w:p>
            <w:pPr>
              <w:pStyle w:val="Compact"/>
              <w:jc w:val="right"/>
            </w:pPr>
            <w:r>
              <w:t xml:space="preserve">0.078</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Michigan</w:t>
            </w:r>
          </w:p>
        </w:tc>
        <w:tc>
          <w:tcPr/>
          <w:p>
            <w:pPr>
              <w:pStyle w:val="Compact"/>
              <w:jc w:val="right"/>
            </w:pPr>
            <w:r>
              <w:t xml:space="preserve">0.071</w:t>
            </w:r>
          </w:p>
        </w:tc>
        <w:tc>
          <w:tcPr/>
          <w:p>
            <w:pPr>
              <w:pStyle w:val="Compact"/>
              <w:jc w:val="left"/>
            </w:pPr>
            <w:r>
              <w:t xml:space="preserve">Michigan</w:t>
            </w:r>
          </w:p>
        </w:tc>
        <w:tc>
          <w:tcPr/>
          <w:p>
            <w:pPr>
              <w:pStyle w:val="Compact"/>
              <w:jc w:val="right"/>
            </w:pPr>
            <w:r>
              <w:t xml:space="preserve">0.074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Illinois</w:t>
            </w:r>
          </w:p>
        </w:tc>
        <w:tc>
          <w:tcPr/>
          <w:p>
            <w:pPr>
              <w:pStyle w:val="Compact"/>
              <w:jc w:val="right"/>
            </w:pPr>
            <w:r>
              <w:t xml:space="preserve">0.066</w:t>
            </w:r>
          </w:p>
        </w:tc>
        <w:tc>
          <w:tcPr/>
          <w:p>
            <w:pPr>
              <w:pStyle w:val="Compact"/>
              <w:jc w:val="left"/>
            </w:pPr>
            <w:r>
              <w:t xml:space="preserve">New York</w:t>
            </w:r>
          </w:p>
        </w:tc>
        <w:tc>
          <w:tcPr/>
          <w:p>
            <w:pPr>
              <w:pStyle w:val="Compact"/>
              <w:jc w:val="right"/>
            </w:pPr>
            <w:r>
              <w:t xml:space="preserve">0.074</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Georgia</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0.069</w:t>
            </w:r>
          </w:p>
        </w:tc>
      </w:tr>
    </w:tbl>
    <w:p>
      <w:pPr>
        <w:pStyle w:val="BodyText"/>
      </w:pPr>
      <w:r>
        <w:rPr>
          <w:b/>
          <w:bCs/>
        </w:rPr>
        <w:t xml:space="preserve">Table 1. The origins of out-of-state angler trips for Florida, the region, and specifically Sarasota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Sarasota County. Comparing the columns shows how Sarasota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Manatee</w:t>
            </w:r>
          </w:p>
        </w:tc>
        <w:tc>
          <w:tcPr/>
          <w:p>
            <w:pPr>
              <w:pStyle w:val="Compact"/>
              <w:jc w:val="right"/>
            </w:pPr>
            <w:r>
              <w:t xml:space="preserve">0.463</w:t>
            </w:r>
          </w:p>
        </w:tc>
        <w:tc>
          <w:tcPr/>
          <w:p>
            <w:pPr>
              <w:pStyle w:val="Compact"/>
              <w:jc w:val="left"/>
            </w:pPr>
            <w:r>
              <w:t xml:space="preserve">Sarasota</w:t>
            </w:r>
          </w:p>
        </w:tc>
        <w:tc>
          <w:tcPr/>
          <w:p>
            <w:pPr>
              <w:pStyle w:val="Compact"/>
              <w:jc w:val="right"/>
            </w:pPr>
            <w:r>
              <w:t xml:space="preserve">0.726</w:t>
            </w:r>
          </w:p>
        </w:tc>
      </w:tr>
      <w:tr>
        <w:tc>
          <w:tcPr/>
          <w:p>
            <w:pPr>
              <w:pStyle w:val="Compact"/>
              <w:jc w:val="left"/>
            </w:pPr>
            <w:r>
              <w:t xml:space="preserve">Charlotte</w:t>
            </w:r>
          </w:p>
        </w:tc>
        <w:tc>
          <w:tcPr/>
          <w:p>
            <w:pPr>
              <w:pStyle w:val="Compact"/>
              <w:jc w:val="right"/>
            </w:pPr>
            <w:r>
              <w:t xml:space="preserve">0.128</w:t>
            </w:r>
          </w:p>
        </w:tc>
        <w:tc>
          <w:tcPr/>
          <w:p>
            <w:pPr>
              <w:pStyle w:val="Compact"/>
              <w:jc w:val="left"/>
            </w:pPr>
            <w:r>
              <w:t xml:space="preserve">Manatee</w:t>
            </w:r>
          </w:p>
        </w:tc>
        <w:tc>
          <w:tcPr/>
          <w:p>
            <w:pPr>
              <w:pStyle w:val="Compact"/>
              <w:jc w:val="right"/>
            </w:pPr>
            <w:r>
              <w:t xml:space="preserve">0.127</w:t>
            </w:r>
          </w:p>
        </w:tc>
      </w:tr>
      <w:tr>
        <w:tc>
          <w:tcPr/>
          <w:p>
            <w:pPr>
              <w:pStyle w:val="Compact"/>
              <w:jc w:val="left"/>
            </w:pPr>
            <w:r>
              <w:t xml:space="preserve">Hillsborough</w:t>
            </w:r>
          </w:p>
        </w:tc>
        <w:tc>
          <w:tcPr/>
          <w:p>
            <w:pPr>
              <w:pStyle w:val="Compact"/>
              <w:jc w:val="right"/>
            </w:pPr>
            <w:r>
              <w:t xml:space="preserve">0.100</w:t>
            </w:r>
          </w:p>
        </w:tc>
        <w:tc>
          <w:tcPr/>
          <w:p>
            <w:pPr>
              <w:pStyle w:val="Compact"/>
              <w:jc w:val="left"/>
            </w:pPr>
            <w:r>
              <w:t xml:space="preserve">Charlotte</w:t>
            </w:r>
          </w:p>
        </w:tc>
        <w:tc>
          <w:tcPr/>
          <w:p>
            <w:pPr>
              <w:pStyle w:val="Compact"/>
              <w:jc w:val="right"/>
            </w:pPr>
            <w:r>
              <w:t xml:space="preserve">0.035</w:t>
            </w:r>
          </w:p>
        </w:tc>
      </w:tr>
      <w:tr>
        <w:tc>
          <w:tcPr/>
          <w:p>
            <w:pPr>
              <w:pStyle w:val="Compact"/>
              <w:jc w:val="left"/>
            </w:pPr>
            <w:r>
              <w:t xml:space="preserve">Polk</w:t>
            </w:r>
          </w:p>
        </w:tc>
        <w:tc>
          <w:tcPr/>
          <w:p>
            <w:pPr>
              <w:pStyle w:val="Compact"/>
              <w:jc w:val="right"/>
            </w:pPr>
            <w:r>
              <w:t xml:space="preserve">0.038</w:t>
            </w:r>
          </w:p>
        </w:tc>
        <w:tc>
          <w:tcPr/>
          <w:p>
            <w:pPr>
              <w:pStyle w:val="Compact"/>
              <w:jc w:val="left"/>
            </w:pPr>
            <w:r>
              <w:t xml:space="preserve">Hillsborough</w:t>
            </w:r>
          </w:p>
        </w:tc>
        <w:tc>
          <w:tcPr/>
          <w:p>
            <w:pPr>
              <w:pStyle w:val="Compact"/>
              <w:jc w:val="right"/>
            </w:pPr>
            <w:r>
              <w:t xml:space="preserve">0.027</w:t>
            </w:r>
          </w:p>
        </w:tc>
      </w:tr>
      <w:tr>
        <w:tc>
          <w:tcPr/>
          <w:p>
            <w:pPr>
              <w:pStyle w:val="Compact"/>
              <w:jc w:val="left"/>
            </w:pPr>
            <w:r>
              <w:t xml:space="preserve">Lee</w:t>
            </w:r>
          </w:p>
        </w:tc>
        <w:tc>
          <w:tcPr/>
          <w:p>
            <w:pPr>
              <w:pStyle w:val="Compact"/>
              <w:jc w:val="right"/>
            </w:pPr>
            <w:r>
              <w:t xml:space="preserve">0.034</w:t>
            </w:r>
          </w:p>
        </w:tc>
        <w:tc>
          <w:tcPr/>
          <w:p>
            <w:pPr>
              <w:pStyle w:val="Compact"/>
              <w:jc w:val="left"/>
            </w:pPr>
            <w:r>
              <w:t xml:space="preserve">Polk</w:t>
            </w:r>
          </w:p>
        </w:tc>
        <w:tc>
          <w:tcPr/>
          <w:p>
            <w:pPr>
              <w:pStyle w:val="Compact"/>
              <w:jc w:val="right"/>
            </w:pPr>
            <w:r>
              <w:t xml:space="preserve">0.011</w:t>
            </w:r>
          </w:p>
        </w:tc>
      </w:tr>
    </w:tbl>
    <w:p>
      <w:pPr>
        <w:pStyle w:val="BodyText"/>
      </w:pPr>
      <w:r>
        <w:rPr>
          <w:b/>
          <w:bCs/>
        </w:rPr>
        <w:t xml:space="preserve">Table 2. The origins of Florida resident anglers fishing in Sarasota County, for 2014-2024.</w:t>
      </w:r>
      <w:r>
        <w:br/>
      </w:r>
      <w:r>
        <w:t xml:space="preserve">This table shows where Florida resident anglers come from when they fish Sarasota County.</w:t>
      </w:r>
      <w:r>
        <w:t xml:space="preserve"> </w:t>
      </w:r>
      <w:r>
        <w:rPr>
          <w:b/>
          <w:bCs/>
        </w:rPr>
        <w:t xml:space="preserve">Columns 1 &amp; 2</w:t>
      </w:r>
      <w:r>
        <w:rPr>
          <w:b/>
          <w:bCs/>
        </w:rPr>
        <w:t xml:space="preserve"> </w:t>
      </w:r>
      <w:r>
        <w:t xml:space="preserve"> </w:t>
      </w:r>
      <w:r>
        <w:t xml:space="preserve">show origins of trips in Sarasota County by anglers who are</w:t>
      </w:r>
      <w:r>
        <w:t xml:space="preserve"> </w:t>
      </w:r>
      <w:r>
        <w:rPr>
          <w:b/>
          <w:bCs/>
        </w:rPr>
        <w:t xml:space="preserve">not</w:t>
      </w:r>
      <w:r>
        <w:t xml:space="preserve"> </w:t>
      </w:r>
      <w:r>
        <w:t xml:space="preserve">residents of Sarasota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Sarasota County. This information can be used to identifying in-state advertising.</w:t>
      </w:r>
    </w:p>
    <w:p>
      <w:pPr>
        <w:pStyle w:val="BodyText"/>
      </w:pPr>
    </w:p>
    <w:bookmarkEnd w:id="24"/>
    <w:bookmarkEnd w:id="25"/>
    <w:bookmarkStart w:id="27" w:name="what-people-fish-for-in-sarasota-county"/>
    <w:p>
      <w:pPr>
        <w:pStyle w:val="Heading3"/>
      </w:pPr>
      <w:r>
        <w:t xml:space="preserve">What people fish for in Sarasota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42"/>
        <w:gridCol w:w="448"/>
        <w:gridCol w:w="1270"/>
        <w:gridCol w:w="448"/>
        <w:gridCol w:w="1494"/>
        <w:gridCol w:w="448"/>
        <w:gridCol w:w="1419"/>
        <w:gridCol w:w="448"/>
      </w:tblGrid>
      <w:tr>
        <w:trPr>
          <w:tblHeader w:val="on"/>
        </w:trPr>
        <w:tc>
          <w:tcPr/>
          <w:p>
            <w:pPr>
              <w:pStyle w:val="Compact"/>
              <w:jc w:val="left"/>
            </w:pPr>
            <w:r>
              <w:t xml:space="preserve">All Sarasota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0.507</w:t>
            </w:r>
          </w:p>
        </w:tc>
        <w:tc>
          <w:tcPr/>
          <w:p>
            <w:pPr>
              <w:pStyle w:val="Compact"/>
              <w:jc w:val="left"/>
            </w:pPr>
            <w:r>
              <w:t xml:space="preserve">No Target</w:t>
            </w:r>
          </w:p>
        </w:tc>
        <w:tc>
          <w:tcPr/>
          <w:p>
            <w:pPr>
              <w:pStyle w:val="Compact"/>
              <w:jc w:val="right"/>
            </w:pPr>
            <w:r>
              <w:t xml:space="preserve">0.487</w:t>
            </w:r>
          </w:p>
        </w:tc>
        <w:tc>
          <w:tcPr/>
          <w:p>
            <w:pPr>
              <w:pStyle w:val="Compact"/>
              <w:jc w:val="left"/>
            </w:pPr>
            <w:r>
              <w:t xml:space="preserve">No Target</w:t>
            </w:r>
          </w:p>
        </w:tc>
        <w:tc>
          <w:tcPr/>
          <w:p>
            <w:pPr>
              <w:pStyle w:val="Compact"/>
              <w:jc w:val="right"/>
            </w:pPr>
            <w:r>
              <w:t xml:space="preserve">0.530</w:t>
            </w:r>
          </w:p>
        </w:tc>
        <w:tc>
          <w:tcPr/>
          <w:p>
            <w:pPr>
              <w:pStyle w:val="Compact"/>
              <w:jc w:val="left"/>
            </w:pPr>
            <w:r>
              <w:t xml:space="preserve">No Target</w:t>
            </w:r>
          </w:p>
        </w:tc>
        <w:tc>
          <w:tcPr/>
          <w:p>
            <w:pPr>
              <w:pStyle w:val="Compact"/>
              <w:jc w:val="right"/>
            </w:pPr>
            <w:r>
              <w:t xml:space="preserve">0.544</w:t>
            </w:r>
          </w:p>
        </w:tc>
      </w:tr>
      <w:tr>
        <w:tc>
          <w:tcPr/>
          <w:p>
            <w:pPr>
              <w:pStyle w:val="Compact"/>
              <w:jc w:val="left"/>
            </w:pPr>
            <w:r>
              <w:t xml:space="preserve">Spotted seatrout</w:t>
            </w:r>
          </w:p>
        </w:tc>
        <w:tc>
          <w:tcPr/>
          <w:p>
            <w:pPr>
              <w:pStyle w:val="Compact"/>
              <w:jc w:val="right"/>
            </w:pPr>
            <w:r>
              <w:t xml:space="preserve">0.075</w:t>
            </w:r>
          </w:p>
        </w:tc>
        <w:tc>
          <w:tcPr/>
          <w:p>
            <w:pPr>
              <w:pStyle w:val="Compact"/>
              <w:jc w:val="left"/>
            </w:pPr>
            <w:r>
              <w:t xml:space="preserve">Spotted seatrout</w:t>
            </w:r>
          </w:p>
        </w:tc>
        <w:tc>
          <w:tcPr/>
          <w:p>
            <w:pPr>
              <w:pStyle w:val="Compact"/>
              <w:jc w:val="right"/>
            </w:pPr>
            <w:r>
              <w:t xml:space="preserve">0.084</w:t>
            </w:r>
          </w:p>
        </w:tc>
        <w:tc>
          <w:tcPr/>
          <w:p>
            <w:pPr>
              <w:pStyle w:val="Compact"/>
              <w:jc w:val="left"/>
            </w:pPr>
            <w:r>
              <w:t xml:space="preserve">Spotted seatrout</w:t>
            </w:r>
          </w:p>
        </w:tc>
        <w:tc>
          <w:tcPr/>
          <w:p>
            <w:pPr>
              <w:pStyle w:val="Compact"/>
              <w:jc w:val="right"/>
            </w:pPr>
            <w:r>
              <w:t xml:space="preserve">0.064</w:t>
            </w:r>
          </w:p>
        </w:tc>
        <w:tc>
          <w:tcPr/>
          <w:p>
            <w:pPr>
              <w:pStyle w:val="Compact"/>
              <w:jc w:val="left"/>
            </w:pPr>
            <w:r>
              <w:t xml:space="preserve">Sheepshead</w:t>
            </w:r>
          </w:p>
        </w:tc>
        <w:tc>
          <w:tcPr/>
          <w:p>
            <w:pPr>
              <w:pStyle w:val="Compact"/>
              <w:jc w:val="right"/>
            </w:pPr>
            <w:r>
              <w:t xml:space="preserve">0.061</w:t>
            </w:r>
          </w:p>
        </w:tc>
      </w:tr>
      <w:tr>
        <w:tc>
          <w:tcPr/>
          <w:p>
            <w:pPr>
              <w:pStyle w:val="Compact"/>
              <w:jc w:val="left"/>
            </w:pPr>
            <w:r>
              <w:t xml:space="preserve">Common snook</w:t>
            </w:r>
          </w:p>
        </w:tc>
        <w:tc>
          <w:tcPr/>
          <w:p>
            <w:pPr>
              <w:pStyle w:val="Compact"/>
              <w:jc w:val="right"/>
            </w:pPr>
            <w:r>
              <w:t xml:space="preserve">0.064</w:t>
            </w:r>
          </w:p>
        </w:tc>
        <w:tc>
          <w:tcPr/>
          <w:p>
            <w:pPr>
              <w:pStyle w:val="Compact"/>
              <w:jc w:val="left"/>
            </w:pPr>
            <w:r>
              <w:t xml:space="preserve">Common snook</w:t>
            </w:r>
          </w:p>
        </w:tc>
        <w:tc>
          <w:tcPr/>
          <w:p>
            <w:pPr>
              <w:pStyle w:val="Compact"/>
              <w:jc w:val="right"/>
            </w:pPr>
            <w:r>
              <w:t xml:space="preserve">0.070</w:t>
            </w:r>
          </w:p>
        </w:tc>
        <w:tc>
          <w:tcPr/>
          <w:p>
            <w:pPr>
              <w:pStyle w:val="Compact"/>
              <w:jc w:val="left"/>
            </w:pPr>
            <w:r>
              <w:t xml:space="preserve">Red grouper</w:t>
            </w:r>
          </w:p>
        </w:tc>
        <w:tc>
          <w:tcPr/>
          <w:p>
            <w:pPr>
              <w:pStyle w:val="Compact"/>
              <w:jc w:val="right"/>
            </w:pPr>
            <w:r>
              <w:t xml:space="preserve">0.057</w:t>
            </w:r>
          </w:p>
        </w:tc>
        <w:tc>
          <w:tcPr/>
          <w:p>
            <w:pPr>
              <w:pStyle w:val="Compact"/>
              <w:jc w:val="left"/>
            </w:pPr>
            <w:r>
              <w:t xml:space="preserve">Red grouper</w:t>
            </w:r>
          </w:p>
        </w:tc>
        <w:tc>
          <w:tcPr/>
          <w:p>
            <w:pPr>
              <w:pStyle w:val="Compact"/>
              <w:jc w:val="right"/>
            </w:pPr>
            <w:r>
              <w:t xml:space="preserve">0.058</w:t>
            </w:r>
          </w:p>
        </w:tc>
      </w:tr>
      <w:tr>
        <w:tc>
          <w:tcPr/>
          <w:p>
            <w:pPr>
              <w:pStyle w:val="Compact"/>
              <w:jc w:val="left"/>
            </w:pPr>
            <w:r>
              <w:t xml:space="preserve">Red grouper</w:t>
            </w:r>
          </w:p>
        </w:tc>
        <w:tc>
          <w:tcPr/>
          <w:p>
            <w:pPr>
              <w:pStyle w:val="Compact"/>
              <w:jc w:val="right"/>
            </w:pPr>
            <w:r>
              <w:t xml:space="preserve">0.051</w:t>
            </w:r>
          </w:p>
        </w:tc>
        <w:tc>
          <w:tcPr/>
          <w:p>
            <w:pPr>
              <w:pStyle w:val="Compact"/>
              <w:jc w:val="left"/>
            </w:pPr>
            <w:r>
              <w:t xml:space="preserve">Red drum</w:t>
            </w:r>
          </w:p>
        </w:tc>
        <w:tc>
          <w:tcPr/>
          <w:p>
            <w:pPr>
              <w:pStyle w:val="Compact"/>
              <w:jc w:val="right"/>
            </w:pPr>
            <w:r>
              <w:t xml:space="preserve">0.057</w:t>
            </w:r>
          </w:p>
        </w:tc>
        <w:tc>
          <w:tcPr/>
          <w:p>
            <w:pPr>
              <w:pStyle w:val="Compact"/>
              <w:jc w:val="left"/>
            </w:pPr>
            <w:r>
              <w:t xml:space="preserve">Common snook</w:t>
            </w:r>
          </w:p>
        </w:tc>
        <w:tc>
          <w:tcPr/>
          <w:p>
            <w:pPr>
              <w:pStyle w:val="Compact"/>
              <w:jc w:val="right"/>
            </w:pPr>
            <w:r>
              <w:t xml:space="preserve">0.056</w:t>
            </w:r>
          </w:p>
        </w:tc>
        <w:tc>
          <w:tcPr/>
          <w:p>
            <w:pPr>
              <w:pStyle w:val="Compact"/>
              <w:jc w:val="left"/>
            </w:pPr>
            <w:r>
              <w:t xml:space="preserve">Spotted seatrout</w:t>
            </w:r>
          </w:p>
        </w:tc>
        <w:tc>
          <w:tcPr/>
          <w:p>
            <w:pPr>
              <w:pStyle w:val="Compact"/>
              <w:jc w:val="right"/>
            </w:pPr>
            <w:r>
              <w:t xml:space="preserve">0.051</w:t>
            </w:r>
          </w:p>
        </w:tc>
      </w:tr>
      <w:tr>
        <w:tc>
          <w:tcPr/>
          <w:p>
            <w:pPr>
              <w:pStyle w:val="Compact"/>
              <w:jc w:val="left"/>
            </w:pPr>
            <w:r>
              <w:t xml:space="preserve">Gray snapper</w:t>
            </w:r>
          </w:p>
        </w:tc>
        <w:tc>
          <w:tcPr/>
          <w:p>
            <w:pPr>
              <w:pStyle w:val="Compact"/>
              <w:jc w:val="right"/>
            </w:pPr>
            <w:r>
              <w:t xml:space="preserve">0.046</w:t>
            </w:r>
          </w:p>
        </w:tc>
        <w:tc>
          <w:tcPr/>
          <w:p>
            <w:pPr>
              <w:pStyle w:val="Compact"/>
              <w:jc w:val="left"/>
            </w:pPr>
            <w:r>
              <w:t xml:space="preserve">Gray snapper</w:t>
            </w:r>
          </w:p>
        </w:tc>
        <w:tc>
          <w:tcPr/>
          <w:p>
            <w:pPr>
              <w:pStyle w:val="Compact"/>
              <w:jc w:val="right"/>
            </w:pPr>
            <w:r>
              <w:t xml:space="preserve">0.047</w:t>
            </w:r>
          </w:p>
        </w:tc>
        <w:tc>
          <w:tcPr/>
          <w:p>
            <w:pPr>
              <w:pStyle w:val="Compact"/>
              <w:jc w:val="left"/>
            </w:pPr>
            <w:r>
              <w:t xml:space="preserve">Sheepshead</w:t>
            </w:r>
          </w:p>
        </w:tc>
        <w:tc>
          <w:tcPr/>
          <w:p>
            <w:pPr>
              <w:pStyle w:val="Compact"/>
              <w:jc w:val="right"/>
            </w:pPr>
            <w:r>
              <w:t xml:space="preserve">0.048</w:t>
            </w:r>
          </w:p>
        </w:tc>
        <w:tc>
          <w:tcPr/>
          <w:p>
            <w:pPr>
              <w:pStyle w:val="Compact"/>
              <w:jc w:val="left"/>
            </w:pPr>
            <w:r>
              <w:t xml:space="preserve">King mackerel</w:t>
            </w:r>
          </w:p>
        </w:tc>
        <w:tc>
          <w:tcPr/>
          <w:p>
            <w:pPr>
              <w:pStyle w:val="Compact"/>
              <w:jc w:val="right"/>
            </w:pPr>
            <w:r>
              <w:t xml:space="preserve">0.045</w:t>
            </w:r>
          </w:p>
        </w:tc>
      </w:tr>
    </w:tbl>
    <w:p>
      <w:pPr>
        <w:pStyle w:val="BodyText"/>
      </w:pPr>
      <w:r>
        <w:rPr>
          <w:b/>
          <w:bCs/>
        </w:rPr>
        <w:t xml:space="preserve">Table 3. Proportions of species targeted by fishing trips made in Sarasota County by anglers from various origins, for 2014-2024.</w:t>
      </w:r>
      <w:r>
        <w:br/>
      </w:r>
      <w:r>
        <w:t xml:space="preserve">This table shows the top 5 species anglers fish in Sarasota County, depending on where they live.</w:t>
      </w:r>
      <w:r>
        <w:t xml:space="preserve"> </w:t>
      </w:r>
      <w:r>
        <w:rPr>
          <w:b/>
          <w:bCs/>
        </w:rPr>
        <w:t xml:space="preserve">Columns 1-2</w:t>
      </w:r>
      <w:r>
        <w:t xml:space="preserve"> </w:t>
      </w:r>
      <w:r>
        <w:t xml:space="preserve">shows what anglers fish for in Sarasota County regardless of where they come from.</w:t>
      </w:r>
      <w:r>
        <w:t xml:space="preserve"> </w:t>
      </w:r>
      <w:r>
        <w:rPr>
          <w:b/>
          <w:bCs/>
        </w:rPr>
        <w:t xml:space="preserve">Columns 3-4</w:t>
      </w:r>
      <w:r>
        <w:t xml:space="preserve"> </w:t>
      </w:r>
      <w:r>
        <w:t xml:space="preserve">shows what Sarasota County resident anglers fish for,</w:t>
      </w:r>
      <w:r>
        <w:t xml:space="preserve"> </w:t>
      </w:r>
      <w:r>
        <w:rPr>
          <w:b/>
          <w:bCs/>
        </w:rPr>
        <w:t xml:space="preserve">Columns 5-6</w:t>
      </w:r>
      <w:r>
        <w:t xml:space="preserve"> </w:t>
      </w:r>
      <w:r>
        <w:t xml:space="preserve">shows what anglers who live in Florida but not Sarasota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ubeda@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ubeda@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E46C3E-4B82-4AD2-9A53-60287F83088C}"/>
</file>

<file path=customXml/itemProps2.xml><?xml version="1.0" encoding="utf-8"?>
<ds:datastoreItem xmlns:ds="http://schemas.openxmlformats.org/officeDocument/2006/customXml" ds:itemID="{B895E70D-134C-4CF9-A95F-092510FC546B}"/>
</file>

<file path=customXml/itemProps3.xml><?xml version="1.0" encoding="utf-8"?>
<ds:datastoreItem xmlns:ds="http://schemas.openxmlformats.org/officeDocument/2006/customXml" ds:itemID="{02BE33C2-C5C3-44A2-8205-0DC60201496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Sarasota County</dc:title>
  <dc:creator>Prepared for Sarasota County by Ed Camp (edvcamp@ufl.edu) Assistant Professor University of Florida, and Armando Ubeda, Florida Sea Grant Extension Agent Sarasota County, aubeda@ufl.edu</dc:creator>
  <cp:keywords/>
  <dcterms:created xsi:type="dcterms:W3CDTF">2025-03-13T18:53:37Z</dcterms:created>
  <dcterms:modified xsi:type="dcterms:W3CDTF">2025-03-13T18:53:37Z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