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St. Lucie County</w:t>
      </w:r>
    </w:p>
    <w:p>
      <w:pPr>
        <w:pStyle w:val="Author"/>
      </w:pPr>
      <w:r>
        <w:t xml:space="preserve">Prepared for St. Lucie County by Ed Camp (</w:t>
      </w:r>
      <w:hyperlink r:id="rId20">
        <w:r>
          <w:rPr>
            <w:rStyle w:val="Hyperlink"/>
          </w:rPr>
          <w:t xml:space="preserve">edvcamp@ufl.edu</w:t>
        </w:r>
      </w:hyperlink>
      <w:r>
        <w:t xml:space="preserve">) Assistant Professor University of Florida, and Vincent Encomio, Florida Sea Grant Extension Agent Martin and St. Lucie Counties,</w:t>
      </w:r>
      <w:r>
        <w:t xml:space="preserve"> </w:t>
      </w:r>
      <w:hyperlink r:id="rId21">
        <w:r>
          <w:rPr>
            <w:rStyle w:val="Hyperlink"/>
          </w:rPr>
          <w:t xml:space="preserve">vencomio@ufl.edu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St. Lucie County</w:t>
      </w:r>
      <w:r>
        <w:t xml:space="preserve">. The report describes information about where people come from when they fish St. Lucie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St. Lucie County</w:t>
      </w:r>
      <w:r>
        <w:t xml:space="preserve">, which Vincent Encomio can provide you.</w:t>
      </w:r>
    </w:p>
    <w:p>
      <w:pPr>
        <w:pStyle w:val="BodyText"/>
      </w:pPr>
    </w:p>
    <w:bookmarkEnd w:id="22"/>
    <w:bookmarkStart w:id="25" w:name="Xef9ddefd7378f44de2411a0cd379551ed528f03"/>
    <w:p>
      <w:pPr>
        <w:pStyle w:val="Heading3"/>
      </w:pPr>
      <w:r>
        <w:t xml:space="preserve">Where people come from to fish St. Lucie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02"/>
        <w:gridCol w:w="565"/>
        <w:gridCol w:w="2262"/>
        <w:gridCol w:w="565"/>
        <w:gridCol w:w="2357"/>
        <w:gridCol w:w="565"/>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Treasure Coast</w:t>
            </w:r>
          </w:p>
        </w:tc>
        <w:tc>
          <w:tcPr/>
          <w:p>
            <w:pPr>
              <w:pStyle w:val="Compact"/>
              <w:jc w:val="right"/>
            </w:pPr>
            <w:r>
              <w:t xml:space="preserve">Prop.</w:t>
            </w:r>
          </w:p>
        </w:tc>
        <w:tc>
          <w:tcPr/>
          <w:p>
            <w:pPr>
              <w:pStyle w:val="Compact"/>
              <w:jc w:val="left"/>
            </w:pPr>
            <w:r>
              <w:t xml:space="preserve">Trips to St Lucie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New York</w:t>
            </w:r>
          </w:p>
        </w:tc>
        <w:tc>
          <w:tcPr/>
          <w:p>
            <w:pPr>
              <w:pStyle w:val="Compact"/>
              <w:jc w:val="right"/>
            </w:pPr>
            <w:r>
              <w:t xml:space="preserve">0.132</w:t>
            </w:r>
          </w:p>
        </w:tc>
        <w:tc>
          <w:tcPr/>
          <w:p>
            <w:pPr>
              <w:pStyle w:val="Compact"/>
              <w:jc w:val="left"/>
            </w:pPr>
            <w:r>
              <w:t xml:space="preserve">Not Available</w:t>
            </w:r>
          </w:p>
        </w:tc>
        <w:tc>
          <w:tcPr/>
          <w:p>
            <w:pPr>
              <w:pStyle w:val="Compact"/>
              <w:jc w:val="right"/>
            </w:pPr>
            <w:r>
              <w:t xml:space="preserve">0.095</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0.072</w:t>
            </w:r>
          </w:p>
        </w:tc>
        <w:tc>
          <w:tcPr/>
          <w:p>
            <w:pPr>
              <w:pStyle w:val="Compact"/>
              <w:jc w:val="left"/>
            </w:pPr>
            <w:r>
              <w:t xml:space="preserve">New Jersey</w:t>
            </w:r>
          </w:p>
        </w:tc>
        <w:tc>
          <w:tcPr/>
          <w:p>
            <w:pPr>
              <w:pStyle w:val="Compact"/>
              <w:jc w:val="right"/>
            </w:pPr>
            <w:r>
              <w:t xml:space="preserve">0.092</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Ohio</w:t>
            </w:r>
          </w:p>
        </w:tc>
        <w:tc>
          <w:tcPr/>
          <w:p>
            <w:pPr>
              <w:pStyle w:val="Compact"/>
              <w:jc w:val="right"/>
            </w:pPr>
            <w:r>
              <w:t xml:space="preserve">0.068</w:t>
            </w:r>
          </w:p>
        </w:tc>
        <w:tc>
          <w:tcPr/>
          <w:p>
            <w:pPr>
              <w:pStyle w:val="Compact"/>
              <w:jc w:val="left"/>
            </w:pPr>
            <w:r>
              <w:t xml:space="preserve">Illinois</w:t>
            </w:r>
          </w:p>
        </w:tc>
        <w:tc>
          <w:tcPr/>
          <w:p>
            <w:pPr>
              <w:pStyle w:val="Compact"/>
              <w:jc w:val="right"/>
            </w:pPr>
            <w:r>
              <w:t xml:space="preserve">0.066</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New Jersey</w:t>
            </w:r>
          </w:p>
        </w:tc>
        <w:tc>
          <w:tcPr/>
          <w:p>
            <w:pPr>
              <w:pStyle w:val="Compact"/>
              <w:jc w:val="right"/>
            </w:pPr>
            <w:r>
              <w:t xml:space="preserve">0.067</w:t>
            </w:r>
          </w:p>
        </w:tc>
        <w:tc>
          <w:tcPr/>
          <w:p>
            <w:pPr>
              <w:pStyle w:val="Compact"/>
              <w:jc w:val="left"/>
            </w:pPr>
            <w:r>
              <w:t xml:space="preserve">Pennsylvania</w:t>
            </w:r>
          </w:p>
        </w:tc>
        <w:tc>
          <w:tcPr/>
          <w:p>
            <w:pPr>
              <w:pStyle w:val="Compact"/>
              <w:jc w:val="right"/>
            </w:pPr>
            <w:r>
              <w:t xml:space="preserve">0.058</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Georgia</w:t>
            </w:r>
          </w:p>
        </w:tc>
        <w:tc>
          <w:tcPr/>
          <w:p>
            <w:pPr>
              <w:pStyle w:val="Compact"/>
              <w:jc w:val="right"/>
            </w:pPr>
            <w:r>
              <w:t xml:space="preserve">0.058</w:t>
            </w:r>
          </w:p>
        </w:tc>
        <w:tc>
          <w:tcPr/>
          <w:p>
            <w:pPr>
              <w:pStyle w:val="Compact"/>
              <w:jc w:val="left"/>
            </w:pPr>
            <w:r>
              <w:t xml:space="preserve">Indiana</w:t>
            </w:r>
          </w:p>
        </w:tc>
        <w:tc>
          <w:tcPr/>
          <w:p>
            <w:pPr>
              <w:pStyle w:val="Compact"/>
              <w:jc w:val="right"/>
            </w:pPr>
            <w:r>
              <w:t xml:space="preserve">0.056</w:t>
            </w:r>
          </w:p>
        </w:tc>
      </w:tr>
    </w:tbl>
    <w:p>
      <w:pPr>
        <w:pStyle w:val="BodyText"/>
      </w:pPr>
      <w:r>
        <w:rPr>
          <w:b/>
          <w:bCs/>
        </w:rPr>
        <w:t xml:space="preserve">Table 1. The origins of out-of-state angler trips for Florida, the region, and specifically St. Lucie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St. Lucie County. Comparing the columns shows how St. Lucie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Indian River</w:t>
            </w:r>
          </w:p>
        </w:tc>
        <w:tc>
          <w:tcPr/>
          <w:p>
            <w:pPr>
              <w:pStyle w:val="Compact"/>
              <w:jc w:val="right"/>
            </w:pPr>
            <w:r>
              <w:t xml:space="preserve">0.440</w:t>
            </w:r>
          </w:p>
        </w:tc>
        <w:tc>
          <w:tcPr/>
          <w:p>
            <w:pPr>
              <w:pStyle w:val="Compact"/>
              <w:jc w:val="left"/>
            </w:pPr>
            <w:r>
              <w:t xml:space="preserve">St Lucie</w:t>
            </w:r>
          </w:p>
        </w:tc>
        <w:tc>
          <w:tcPr/>
          <w:p>
            <w:pPr>
              <w:pStyle w:val="Compact"/>
              <w:jc w:val="right"/>
            </w:pPr>
            <w:r>
              <w:t xml:space="preserve">0.597</w:t>
            </w:r>
          </w:p>
        </w:tc>
      </w:tr>
      <w:tr>
        <w:tc>
          <w:tcPr/>
          <w:p>
            <w:pPr>
              <w:pStyle w:val="Compact"/>
              <w:jc w:val="left"/>
            </w:pPr>
            <w:r>
              <w:t xml:space="preserve">Martin</w:t>
            </w:r>
          </w:p>
        </w:tc>
        <w:tc>
          <w:tcPr/>
          <w:p>
            <w:pPr>
              <w:pStyle w:val="Compact"/>
              <w:jc w:val="right"/>
            </w:pPr>
            <w:r>
              <w:t xml:space="preserve">0.123</w:t>
            </w:r>
          </w:p>
        </w:tc>
        <w:tc>
          <w:tcPr/>
          <w:p>
            <w:pPr>
              <w:pStyle w:val="Compact"/>
              <w:jc w:val="left"/>
            </w:pPr>
            <w:r>
              <w:t xml:space="preserve">Indian River</w:t>
            </w:r>
          </w:p>
        </w:tc>
        <w:tc>
          <w:tcPr/>
          <w:p>
            <w:pPr>
              <w:pStyle w:val="Compact"/>
              <w:jc w:val="right"/>
            </w:pPr>
            <w:r>
              <w:t xml:space="preserve">0.177</w:t>
            </w:r>
          </w:p>
        </w:tc>
      </w:tr>
      <w:tr>
        <w:tc>
          <w:tcPr/>
          <w:p>
            <w:pPr>
              <w:pStyle w:val="Compact"/>
              <w:jc w:val="left"/>
            </w:pPr>
            <w:r>
              <w:t xml:space="preserve">Okeechobee</w:t>
            </w:r>
          </w:p>
        </w:tc>
        <w:tc>
          <w:tcPr/>
          <w:p>
            <w:pPr>
              <w:pStyle w:val="Compact"/>
              <w:jc w:val="right"/>
            </w:pPr>
            <w:r>
              <w:t xml:space="preserve">0.098</w:t>
            </w:r>
          </w:p>
        </w:tc>
        <w:tc>
          <w:tcPr/>
          <w:p>
            <w:pPr>
              <w:pStyle w:val="Compact"/>
              <w:jc w:val="left"/>
            </w:pPr>
            <w:r>
              <w:t xml:space="preserve">Martin</w:t>
            </w:r>
          </w:p>
        </w:tc>
        <w:tc>
          <w:tcPr/>
          <w:p>
            <w:pPr>
              <w:pStyle w:val="Compact"/>
              <w:jc w:val="right"/>
            </w:pPr>
            <w:r>
              <w:t xml:space="preserve">0.049</w:t>
            </w:r>
          </w:p>
        </w:tc>
      </w:tr>
      <w:tr>
        <w:tc>
          <w:tcPr/>
          <w:p>
            <w:pPr>
              <w:pStyle w:val="Compact"/>
              <w:jc w:val="left"/>
            </w:pPr>
            <w:r>
              <w:t xml:space="preserve">Palm Beach</w:t>
            </w:r>
          </w:p>
        </w:tc>
        <w:tc>
          <w:tcPr/>
          <w:p>
            <w:pPr>
              <w:pStyle w:val="Compact"/>
              <w:jc w:val="right"/>
            </w:pPr>
            <w:r>
              <w:t xml:space="preserve">0.060</w:t>
            </w:r>
          </w:p>
        </w:tc>
        <w:tc>
          <w:tcPr/>
          <w:p>
            <w:pPr>
              <w:pStyle w:val="Compact"/>
              <w:jc w:val="left"/>
            </w:pPr>
            <w:r>
              <w:t xml:space="preserve">Okeechobee</w:t>
            </w:r>
          </w:p>
        </w:tc>
        <w:tc>
          <w:tcPr/>
          <w:p>
            <w:pPr>
              <w:pStyle w:val="Compact"/>
              <w:jc w:val="right"/>
            </w:pPr>
            <w:r>
              <w:t xml:space="preserve">0.039</w:t>
            </w:r>
          </w:p>
        </w:tc>
      </w:tr>
      <w:tr>
        <w:tc>
          <w:tcPr/>
          <w:p>
            <w:pPr>
              <w:pStyle w:val="Compact"/>
              <w:jc w:val="left"/>
            </w:pPr>
            <w:r>
              <w:t xml:space="preserve">Brevard</w:t>
            </w:r>
          </w:p>
        </w:tc>
        <w:tc>
          <w:tcPr/>
          <w:p>
            <w:pPr>
              <w:pStyle w:val="Compact"/>
              <w:jc w:val="right"/>
            </w:pPr>
            <w:r>
              <w:t xml:space="preserve">0.052</w:t>
            </w:r>
          </w:p>
        </w:tc>
        <w:tc>
          <w:tcPr/>
          <w:p>
            <w:pPr>
              <w:pStyle w:val="Compact"/>
              <w:jc w:val="left"/>
            </w:pPr>
            <w:r>
              <w:t xml:space="preserve">Palm Beach</w:t>
            </w:r>
          </w:p>
        </w:tc>
        <w:tc>
          <w:tcPr/>
          <w:p>
            <w:pPr>
              <w:pStyle w:val="Compact"/>
              <w:jc w:val="right"/>
            </w:pPr>
            <w:r>
              <w:t xml:space="preserve">0.024</w:t>
            </w:r>
          </w:p>
        </w:tc>
      </w:tr>
    </w:tbl>
    <w:p>
      <w:pPr>
        <w:pStyle w:val="BodyText"/>
      </w:pPr>
      <w:r>
        <w:rPr>
          <w:b/>
          <w:bCs/>
        </w:rPr>
        <w:t xml:space="preserve">Table 2. The origins of Florida resident anglers fishing in St. Lucie County, for 2014-2024.</w:t>
      </w:r>
      <w:r>
        <w:br/>
      </w:r>
      <w:r>
        <w:t xml:space="preserve">This table shows where Florida resident anglers come from when they fish St. Lucie County.</w:t>
      </w:r>
      <w:r>
        <w:t xml:space="preserve"> </w:t>
      </w:r>
      <w:r>
        <w:rPr>
          <w:b/>
          <w:bCs/>
        </w:rPr>
        <w:t xml:space="preserve">Columns 1 &amp; 2</w:t>
      </w:r>
      <w:r>
        <w:rPr>
          <w:b/>
          <w:bCs/>
        </w:rPr>
        <w:t xml:space="preserve"> </w:t>
      </w:r>
      <w:r>
        <w:t xml:space="preserve"> </w:t>
      </w:r>
      <w:r>
        <w:t xml:space="preserve">show origins of trips in St. Lucie County by anglers who are</w:t>
      </w:r>
      <w:r>
        <w:t xml:space="preserve"> </w:t>
      </w:r>
      <w:r>
        <w:rPr>
          <w:b/>
          <w:bCs/>
        </w:rPr>
        <w:t xml:space="preserve">not</w:t>
      </w:r>
      <w:r>
        <w:t xml:space="preserve"> </w:t>
      </w:r>
      <w:r>
        <w:t xml:space="preserve">residents of St. Lucie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St. Lucie County. This information can be used to identifying in-state advertising.</w:t>
      </w:r>
    </w:p>
    <w:p>
      <w:pPr>
        <w:pStyle w:val="BodyText"/>
      </w:pPr>
    </w:p>
    <w:bookmarkEnd w:id="24"/>
    <w:bookmarkEnd w:id="25"/>
    <w:bookmarkStart w:id="27" w:name="what-people-fish-for-in-st.-lucie-county"/>
    <w:p>
      <w:pPr>
        <w:pStyle w:val="Heading3"/>
      </w:pPr>
      <w:r>
        <w:t xml:space="preserve">What people fish for in St. Lucie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61"/>
        <w:gridCol w:w="452"/>
        <w:gridCol w:w="1206"/>
        <w:gridCol w:w="452"/>
        <w:gridCol w:w="1508"/>
        <w:gridCol w:w="452"/>
        <w:gridCol w:w="1433"/>
        <w:gridCol w:w="452"/>
      </w:tblGrid>
      <w:tr>
        <w:trPr>
          <w:tblHeader w:val="on"/>
        </w:trPr>
        <w:tc>
          <w:tcPr/>
          <w:p>
            <w:pPr>
              <w:pStyle w:val="Compact"/>
              <w:jc w:val="left"/>
            </w:pPr>
            <w:r>
              <w:t xml:space="preserve">All St Lucie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0.416</w:t>
            </w:r>
          </w:p>
        </w:tc>
        <w:tc>
          <w:tcPr/>
          <w:p>
            <w:pPr>
              <w:pStyle w:val="Compact"/>
              <w:jc w:val="left"/>
            </w:pPr>
            <w:r>
              <w:t xml:space="preserve">No Target</w:t>
            </w:r>
          </w:p>
        </w:tc>
        <w:tc>
          <w:tcPr/>
          <w:p>
            <w:pPr>
              <w:pStyle w:val="Compact"/>
              <w:jc w:val="right"/>
            </w:pPr>
            <w:r>
              <w:t xml:space="preserve">0.405</w:t>
            </w:r>
          </w:p>
        </w:tc>
        <w:tc>
          <w:tcPr/>
          <w:p>
            <w:pPr>
              <w:pStyle w:val="Compact"/>
              <w:jc w:val="left"/>
            </w:pPr>
            <w:r>
              <w:t xml:space="preserve">No Target</w:t>
            </w:r>
          </w:p>
        </w:tc>
        <w:tc>
          <w:tcPr/>
          <w:p>
            <w:pPr>
              <w:pStyle w:val="Compact"/>
              <w:jc w:val="right"/>
            </w:pPr>
            <w:r>
              <w:t xml:space="preserve">0.430</w:t>
            </w:r>
          </w:p>
        </w:tc>
        <w:tc>
          <w:tcPr/>
          <w:p>
            <w:pPr>
              <w:pStyle w:val="Compact"/>
              <w:jc w:val="left"/>
            </w:pPr>
            <w:r>
              <w:t xml:space="preserve">No Target</w:t>
            </w:r>
          </w:p>
        </w:tc>
        <w:tc>
          <w:tcPr/>
          <w:p>
            <w:pPr>
              <w:pStyle w:val="Compact"/>
              <w:jc w:val="right"/>
            </w:pPr>
            <w:r>
              <w:t xml:space="preserve">0.561</w:t>
            </w:r>
          </w:p>
        </w:tc>
      </w:tr>
      <w:tr>
        <w:tc>
          <w:tcPr/>
          <w:p>
            <w:pPr>
              <w:pStyle w:val="Compact"/>
              <w:jc w:val="left"/>
            </w:pPr>
            <w:r>
              <w:t xml:space="preserve">Dolphin</w:t>
            </w:r>
          </w:p>
        </w:tc>
        <w:tc>
          <w:tcPr/>
          <w:p>
            <w:pPr>
              <w:pStyle w:val="Compact"/>
              <w:jc w:val="right"/>
            </w:pPr>
            <w:r>
              <w:t xml:space="preserve">0.154</w:t>
            </w:r>
          </w:p>
        </w:tc>
        <w:tc>
          <w:tcPr/>
          <w:p>
            <w:pPr>
              <w:pStyle w:val="Compact"/>
              <w:jc w:val="left"/>
            </w:pPr>
            <w:r>
              <w:t xml:space="preserve">Dolphin</w:t>
            </w:r>
          </w:p>
        </w:tc>
        <w:tc>
          <w:tcPr/>
          <w:p>
            <w:pPr>
              <w:pStyle w:val="Compact"/>
              <w:jc w:val="right"/>
            </w:pPr>
            <w:r>
              <w:t xml:space="preserve">0.146</w:t>
            </w:r>
          </w:p>
        </w:tc>
        <w:tc>
          <w:tcPr/>
          <w:p>
            <w:pPr>
              <w:pStyle w:val="Compact"/>
              <w:jc w:val="left"/>
            </w:pPr>
            <w:r>
              <w:t xml:space="preserve">Dolphin</w:t>
            </w:r>
          </w:p>
        </w:tc>
        <w:tc>
          <w:tcPr/>
          <w:p>
            <w:pPr>
              <w:pStyle w:val="Compact"/>
              <w:jc w:val="right"/>
            </w:pPr>
            <w:r>
              <w:t xml:space="preserve">0.162</w:t>
            </w:r>
          </w:p>
        </w:tc>
        <w:tc>
          <w:tcPr/>
          <w:p>
            <w:pPr>
              <w:pStyle w:val="Compact"/>
              <w:jc w:val="left"/>
            </w:pPr>
            <w:r>
              <w:t xml:space="preserve">Dolphin</w:t>
            </w:r>
          </w:p>
        </w:tc>
        <w:tc>
          <w:tcPr/>
          <w:p>
            <w:pPr>
              <w:pStyle w:val="Compact"/>
              <w:jc w:val="right"/>
            </w:pPr>
            <w:r>
              <w:t xml:space="preserve">0.114</w:t>
            </w:r>
          </w:p>
        </w:tc>
      </w:tr>
      <w:tr>
        <w:tc>
          <w:tcPr/>
          <w:p>
            <w:pPr>
              <w:pStyle w:val="Compact"/>
              <w:jc w:val="left"/>
            </w:pPr>
            <w:r>
              <w:t xml:space="preserve">Common snook</w:t>
            </w:r>
          </w:p>
        </w:tc>
        <w:tc>
          <w:tcPr/>
          <w:p>
            <w:pPr>
              <w:pStyle w:val="Compact"/>
              <w:jc w:val="right"/>
            </w:pPr>
            <w:r>
              <w:t xml:space="preserve">0.091</w:t>
            </w:r>
          </w:p>
        </w:tc>
        <w:tc>
          <w:tcPr/>
          <w:p>
            <w:pPr>
              <w:pStyle w:val="Compact"/>
              <w:jc w:val="left"/>
            </w:pPr>
            <w:r>
              <w:t xml:space="preserve">Common snook</w:t>
            </w:r>
          </w:p>
        </w:tc>
        <w:tc>
          <w:tcPr/>
          <w:p>
            <w:pPr>
              <w:pStyle w:val="Compact"/>
              <w:jc w:val="right"/>
            </w:pPr>
            <w:r>
              <w:t xml:space="preserve">0.101</w:t>
            </w:r>
          </w:p>
        </w:tc>
        <w:tc>
          <w:tcPr/>
          <w:p>
            <w:pPr>
              <w:pStyle w:val="Compact"/>
              <w:jc w:val="left"/>
            </w:pPr>
            <w:r>
              <w:t xml:space="preserve">Common snook</w:t>
            </w:r>
          </w:p>
        </w:tc>
        <w:tc>
          <w:tcPr/>
          <w:p>
            <w:pPr>
              <w:pStyle w:val="Compact"/>
              <w:jc w:val="right"/>
            </w:pPr>
            <w:r>
              <w:t xml:space="preserve">0.079</w:t>
            </w:r>
          </w:p>
        </w:tc>
        <w:tc>
          <w:tcPr/>
          <w:p>
            <w:pPr>
              <w:pStyle w:val="Compact"/>
              <w:jc w:val="left"/>
            </w:pPr>
            <w:r>
              <w:t xml:space="preserve">Sheepshead</w:t>
            </w:r>
          </w:p>
        </w:tc>
        <w:tc>
          <w:tcPr/>
          <w:p>
            <w:pPr>
              <w:pStyle w:val="Compact"/>
              <w:jc w:val="right"/>
            </w:pPr>
            <w:r>
              <w:t xml:space="preserve">0.070</w:t>
            </w:r>
          </w:p>
        </w:tc>
      </w:tr>
      <w:tr>
        <w:tc>
          <w:tcPr/>
          <w:p>
            <w:pPr>
              <w:pStyle w:val="Compact"/>
              <w:jc w:val="left"/>
            </w:pPr>
            <w:r>
              <w:t xml:space="preserve">Snapper family</w:t>
            </w:r>
          </w:p>
        </w:tc>
        <w:tc>
          <w:tcPr/>
          <w:p>
            <w:pPr>
              <w:pStyle w:val="Compact"/>
              <w:jc w:val="right"/>
            </w:pPr>
            <w:r>
              <w:t xml:space="preserve">0.055</w:t>
            </w:r>
          </w:p>
        </w:tc>
        <w:tc>
          <w:tcPr/>
          <w:p>
            <w:pPr>
              <w:pStyle w:val="Compact"/>
              <w:jc w:val="left"/>
            </w:pPr>
            <w:r>
              <w:t xml:space="preserve">Snapper family</w:t>
            </w:r>
          </w:p>
        </w:tc>
        <w:tc>
          <w:tcPr/>
          <w:p>
            <w:pPr>
              <w:pStyle w:val="Compact"/>
              <w:jc w:val="right"/>
            </w:pPr>
            <w:r>
              <w:t xml:space="preserve">0.067</w:t>
            </w:r>
          </w:p>
        </w:tc>
        <w:tc>
          <w:tcPr/>
          <w:p>
            <w:pPr>
              <w:pStyle w:val="Compact"/>
              <w:jc w:val="left"/>
            </w:pPr>
            <w:r>
              <w:t xml:space="preserve">Snapper family</w:t>
            </w:r>
          </w:p>
        </w:tc>
        <w:tc>
          <w:tcPr/>
          <w:p>
            <w:pPr>
              <w:pStyle w:val="Compact"/>
              <w:jc w:val="right"/>
            </w:pPr>
            <w:r>
              <w:t xml:space="preserve">0.043</w:t>
            </w:r>
          </w:p>
        </w:tc>
        <w:tc>
          <w:tcPr/>
          <w:p>
            <w:pPr>
              <w:pStyle w:val="Compact"/>
              <w:jc w:val="left"/>
            </w:pPr>
            <w:r>
              <w:t xml:space="preserve">Common snook</w:t>
            </w:r>
          </w:p>
        </w:tc>
        <w:tc>
          <w:tcPr/>
          <w:p>
            <w:pPr>
              <w:pStyle w:val="Compact"/>
              <w:jc w:val="right"/>
            </w:pPr>
            <w:r>
              <w:t xml:space="preserve">0.044</w:t>
            </w:r>
          </w:p>
        </w:tc>
      </w:tr>
      <w:tr>
        <w:tc>
          <w:tcPr/>
          <w:p>
            <w:pPr>
              <w:pStyle w:val="Compact"/>
              <w:jc w:val="left"/>
            </w:pPr>
            <w:r>
              <w:t xml:space="preserve">Spotted seatrout</w:t>
            </w:r>
          </w:p>
        </w:tc>
        <w:tc>
          <w:tcPr/>
          <w:p>
            <w:pPr>
              <w:pStyle w:val="Compact"/>
              <w:jc w:val="right"/>
            </w:pPr>
            <w:r>
              <w:t xml:space="preserve">0.035</w:t>
            </w:r>
          </w:p>
        </w:tc>
        <w:tc>
          <w:tcPr/>
          <w:p>
            <w:pPr>
              <w:pStyle w:val="Compact"/>
              <w:jc w:val="left"/>
            </w:pPr>
            <w:r>
              <w:t xml:space="preserve">King mackerel</w:t>
            </w:r>
          </w:p>
        </w:tc>
        <w:tc>
          <w:tcPr/>
          <w:p>
            <w:pPr>
              <w:pStyle w:val="Compact"/>
              <w:jc w:val="right"/>
            </w:pPr>
            <w:r>
              <w:t xml:space="preserve">0.034</w:t>
            </w:r>
          </w:p>
        </w:tc>
        <w:tc>
          <w:tcPr/>
          <w:p>
            <w:pPr>
              <w:pStyle w:val="Compact"/>
              <w:jc w:val="left"/>
            </w:pPr>
            <w:r>
              <w:t xml:space="preserve">King mackerel</w:t>
            </w:r>
          </w:p>
        </w:tc>
        <w:tc>
          <w:tcPr/>
          <w:p>
            <w:pPr>
              <w:pStyle w:val="Compact"/>
              <w:jc w:val="right"/>
            </w:pPr>
            <w:r>
              <w:t xml:space="preserve">0.035</w:t>
            </w:r>
          </w:p>
        </w:tc>
        <w:tc>
          <w:tcPr/>
          <w:p>
            <w:pPr>
              <w:pStyle w:val="Compact"/>
              <w:jc w:val="left"/>
            </w:pPr>
            <w:r>
              <w:t xml:space="preserve">Spotted seatrout</w:t>
            </w:r>
          </w:p>
        </w:tc>
        <w:tc>
          <w:tcPr/>
          <w:p>
            <w:pPr>
              <w:pStyle w:val="Compact"/>
              <w:jc w:val="right"/>
            </w:pPr>
            <w:r>
              <w:t xml:space="preserve">0.041</w:t>
            </w:r>
          </w:p>
        </w:tc>
      </w:tr>
    </w:tbl>
    <w:p>
      <w:pPr>
        <w:pStyle w:val="BodyText"/>
      </w:pPr>
      <w:r>
        <w:rPr>
          <w:b/>
          <w:bCs/>
        </w:rPr>
        <w:t xml:space="preserve">Table 3. Proportions of species targeted by fishing trips made in St. Lucie County by anglers from various origins, for 2014-2024.</w:t>
      </w:r>
      <w:r>
        <w:br/>
      </w:r>
      <w:r>
        <w:t xml:space="preserve">This table shows the top 5 species anglers fish in St. Lucie County, depending on where they live.</w:t>
      </w:r>
      <w:r>
        <w:t xml:space="preserve"> </w:t>
      </w:r>
      <w:r>
        <w:rPr>
          <w:b/>
          <w:bCs/>
        </w:rPr>
        <w:t xml:space="preserve">Columns 1-2</w:t>
      </w:r>
      <w:r>
        <w:t xml:space="preserve"> </w:t>
      </w:r>
      <w:r>
        <w:t xml:space="preserve">shows what anglers fish for in St. Lucie County regardless of where they come from.</w:t>
      </w:r>
      <w:r>
        <w:t xml:space="preserve"> </w:t>
      </w:r>
      <w:r>
        <w:rPr>
          <w:b/>
          <w:bCs/>
        </w:rPr>
        <w:t xml:space="preserve">Columns 3-4</w:t>
      </w:r>
      <w:r>
        <w:t xml:space="preserve"> </w:t>
      </w:r>
      <w:r>
        <w:t xml:space="preserve">shows what St. Lucie County resident anglers fish for,</w:t>
      </w:r>
      <w:r>
        <w:t xml:space="preserve"> </w:t>
      </w:r>
      <w:r>
        <w:rPr>
          <w:b/>
          <w:bCs/>
        </w:rPr>
        <w:t xml:space="preserve">Columns 5-6</w:t>
      </w:r>
      <w:r>
        <w:t xml:space="preserve"> </w:t>
      </w:r>
      <w:r>
        <w:t xml:space="preserve">shows what anglers who live in Florida but not St. Lucie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vencomio@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95BAFF-8DD1-4916-ADA2-3C2A7AA8C955}"/>
</file>

<file path=customXml/itemProps2.xml><?xml version="1.0" encoding="utf-8"?>
<ds:datastoreItem xmlns:ds="http://schemas.openxmlformats.org/officeDocument/2006/customXml" ds:itemID="{73A60C33-9D2D-4548-84F5-747EB607889B}"/>
</file>

<file path=customXml/itemProps3.xml><?xml version="1.0" encoding="utf-8"?>
<ds:datastoreItem xmlns:ds="http://schemas.openxmlformats.org/officeDocument/2006/customXml" ds:itemID="{87059D7F-DA99-45AB-97CF-60E57F29AB2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St. Lucie County</dc:title>
  <dc:creator>Prepared for St. Lucie County by Ed Camp (edvcamp@ufl.edu) Assistant Professor University of Florida, and Vincent Encomio, Florida Sea Grant Extension Agent Martin and St. Lucie Counties, vencomio@ufl.edu</dc:creator>
  <cp:keywords/>
  <dcterms:created xsi:type="dcterms:W3CDTF">2025-03-13T18:54:07Z</dcterms:created>
  <dcterms:modified xsi:type="dcterms:W3CDTF">2025-03-13T18:54:07Z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