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Volusia County</w:t>
      </w:r>
    </w:p>
    <w:p>
      <w:pPr>
        <w:pStyle w:val="Author"/>
      </w:pPr>
      <w:r>
        <w:t xml:space="preserve">Prepared for Volusia County by Ed Camp (</w:t>
      </w:r>
      <w:hyperlink r:id="rId20">
        <w:r>
          <w:rPr>
            <w:rStyle w:val="Hyperlink"/>
          </w:rPr>
          <w:t xml:space="preserve">edvcamp@ufl.edu</w:t>
        </w:r>
      </w:hyperlink>
      <w:r>
        <w:t xml:space="preserve">) Assistant Professor University of Florida, and Carolyn Kovacs, Regional Specialized Extension Agent Southeast Florida,</w:t>
      </w:r>
      <w:r>
        <w:t xml:space="preserve"> </w:t>
      </w:r>
      <w:hyperlink r:id="rId21">
        <w:r>
          <w:rPr>
            <w:rStyle w:val="Hyperlink"/>
          </w:rPr>
          <w:t xml:space="preserve">c.kovacs@ufl.edu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Volusia County</w:t>
      </w:r>
      <w:r>
        <w:t xml:space="preserve">. The report describes information about where people come from when they fish Volusia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Volusia County</w:t>
      </w:r>
      <w:r>
        <w:t xml:space="preserve">, which Carolyn Kovacs can provide you.</w:t>
      </w:r>
    </w:p>
    <w:p>
      <w:pPr>
        <w:pStyle w:val="BodyText"/>
      </w:pPr>
    </w:p>
    <w:bookmarkEnd w:id="22"/>
    <w:bookmarkStart w:id="25" w:name="Xe7483a27cd8b25477941d296e5954fc814bacdf"/>
    <w:p>
      <w:pPr>
        <w:pStyle w:val="Heading3"/>
      </w:pPr>
      <w:r>
        <w:t xml:space="preserve">Where people come from to fish Volusia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02"/>
        <w:gridCol w:w="565"/>
        <w:gridCol w:w="2357"/>
        <w:gridCol w:w="565"/>
        <w:gridCol w:w="2262"/>
        <w:gridCol w:w="56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East Central FL</w:t>
            </w:r>
          </w:p>
        </w:tc>
        <w:tc>
          <w:tcPr/>
          <w:p>
            <w:pPr>
              <w:pStyle w:val="Compact"/>
              <w:jc w:val="right"/>
            </w:pPr>
            <w:r>
              <w:t xml:space="preserve">Prop.</w:t>
            </w:r>
          </w:p>
        </w:tc>
        <w:tc>
          <w:tcPr/>
          <w:p>
            <w:pPr>
              <w:pStyle w:val="Compact"/>
              <w:jc w:val="left"/>
            </w:pPr>
            <w:r>
              <w:t xml:space="preserve">Trips to Volusia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Texas</w:t>
            </w:r>
          </w:p>
        </w:tc>
        <w:tc>
          <w:tcPr/>
          <w:p>
            <w:pPr>
              <w:pStyle w:val="Compact"/>
              <w:jc w:val="right"/>
            </w:pPr>
            <w:r>
              <w:t xml:space="preserve">0.068</w:t>
            </w:r>
          </w:p>
        </w:tc>
        <w:tc>
          <w:tcPr/>
          <w:p>
            <w:pPr>
              <w:pStyle w:val="Compact"/>
              <w:jc w:val="left"/>
            </w:pPr>
            <w:r>
              <w:t xml:space="preserve">Georgia</w:t>
            </w:r>
          </w:p>
        </w:tc>
        <w:tc>
          <w:tcPr/>
          <w:p>
            <w:pPr>
              <w:pStyle w:val="Compact"/>
              <w:jc w:val="right"/>
            </w:pPr>
            <w:r>
              <w:t xml:space="preserve">0.209</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0.066</w:t>
            </w:r>
          </w:p>
        </w:tc>
        <w:tc>
          <w:tcPr/>
          <w:p>
            <w:pPr>
              <w:pStyle w:val="Compact"/>
              <w:jc w:val="left"/>
            </w:pPr>
            <w:r>
              <w:t xml:space="preserve">Ohio</w:t>
            </w:r>
          </w:p>
        </w:tc>
        <w:tc>
          <w:tcPr/>
          <w:p>
            <w:pPr>
              <w:pStyle w:val="Compact"/>
              <w:jc w:val="right"/>
            </w:pPr>
            <w:r>
              <w:t xml:space="preserve">0.057</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Georgia</w:t>
            </w:r>
          </w:p>
        </w:tc>
        <w:tc>
          <w:tcPr/>
          <w:p>
            <w:pPr>
              <w:pStyle w:val="Compact"/>
              <w:jc w:val="right"/>
            </w:pPr>
            <w:r>
              <w:t xml:space="preserve">0.064</w:t>
            </w:r>
          </w:p>
        </w:tc>
        <w:tc>
          <w:tcPr/>
          <w:p>
            <w:pPr>
              <w:pStyle w:val="Compact"/>
              <w:jc w:val="left"/>
            </w:pPr>
            <w:r>
              <w:t xml:space="preserve">North Carolina</w:t>
            </w:r>
          </w:p>
        </w:tc>
        <w:tc>
          <w:tcPr/>
          <w:p>
            <w:pPr>
              <w:pStyle w:val="Compact"/>
              <w:jc w:val="right"/>
            </w:pPr>
            <w:r>
              <w:t xml:space="preserve">0.049</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Not Available</w:t>
            </w:r>
          </w:p>
        </w:tc>
        <w:tc>
          <w:tcPr/>
          <w:p>
            <w:pPr>
              <w:pStyle w:val="Compact"/>
              <w:jc w:val="right"/>
            </w:pPr>
            <w:r>
              <w:t xml:space="preserve">0.062</w:t>
            </w:r>
          </w:p>
        </w:tc>
        <w:tc>
          <w:tcPr/>
          <w:p>
            <w:pPr>
              <w:pStyle w:val="Compact"/>
              <w:jc w:val="left"/>
            </w:pPr>
            <w:r>
              <w:t xml:space="preserve">Michigan</w:t>
            </w:r>
          </w:p>
        </w:tc>
        <w:tc>
          <w:tcPr/>
          <w:p>
            <w:pPr>
              <w:pStyle w:val="Compact"/>
              <w:jc w:val="right"/>
            </w:pPr>
            <w:r>
              <w:t xml:space="preserve">0.045</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Minnesota</w:t>
            </w:r>
          </w:p>
        </w:tc>
        <w:tc>
          <w:tcPr/>
          <w:p>
            <w:pPr>
              <w:pStyle w:val="Compact"/>
              <w:jc w:val="right"/>
            </w:pPr>
            <w:r>
              <w:t xml:space="preserve">0.044</w:t>
            </w:r>
          </w:p>
        </w:tc>
        <w:tc>
          <w:tcPr/>
          <w:p>
            <w:pPr>
              <w:pStyle w:val="Compact"/>
              <w:jc w:val="left"/>
            </w:pPr>
            <w:r>
              <w:t xml:space="preserve">Pennsylvania</w:t>
            </w:r>
          </w:p>
        </w:tc>
        <w:tc>
          <w:tcPr/>
          <w:p>
            <w:pPr>
              <w:pStyle w:val="Compact"/>
              <w:jc w:val="right"/>
            </w:pPr>
            <w:r>
              <w:t xml:space="preserve">0.045</w:t>
            </w:r>
          </w:p>
        </w:tc>
      </w:tr>
    </w:tbl>
    <w:p>
      <w:pPr>
        <w:pStyle w:val="BodyText"/>
      </w:pPr>
      <w:r>
        <w:rPr>
          <w:b/>
          <w:bCs/>
        </w:rPr>
        <w:t xml:space="preserve">Table 1. The origins of out-of-state angler trips for Florida, the region, and specifically Volusia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Volusia County. Comparing the columns shows how Volusia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Seminole</w:t>
            </w:r>
          </w:p>
        </w:tc>
        <w:tc>
          <w:tcPr/>
          <w:p>
            <w:pPr>
              <w:pStyle w:val="Compact"/>
              <w:jc w:val="right"/>
            </w:pPr>
            <w:r>
              <w:t xml:space="preserve">0.290</w:t>
            </w:r>
          </w:p>
        </w:tc>
        <w:tc>
          <w:tcPr/>
          <w:p>
            <w:pPr>
              <w:pStyle w:val="Compact"/>
              <w:jc w:val="left"/>
            </w:pPr>
            <w:r>
              <w:t xml:space="preserve">Volusia</w:t>
            </w:r>
          </w:p>
        </w:tc>
        <w:tc>
          <w:tcPr/>
          <w:p>
            <w:pPr>
              <w:pStyle w:val="Compact"/>
              <w:jc w:val="right"/>
            </w:pPr>
            <w:r>
              <w:t xml:space="preserve">0.638</w:t>
            </w:r>
          </w:p>
        </w:tc>
      </w:tr>
      <w:tr>
        <w:tc>
          <w:tcPr/>
          <w:p>
            <w:pPr>
              <w:pStyle w:val="Compact"/>
              <w:jc w:val="left"/>
            </w:pPr>
            <w:r>
              <w:t xml:space="preserve">Orange</w:t>
            </w:r>
          </w:p>
        </w:tc>
        <w:tc>
          <w:tcPr/>
          <w:p>
            <w:pPr>
              <w:pStyle w:val="Compact"/>
              <w:jc w:val="right"/>
            </w:pPr>
            <w:r>
              <w:t xml:space="preserve">0.230</w:t>
            </w:r>
          </w:p>
        </w:tc>
        <w:tc>
          <w:tcPr/>
          <w:p>
            <w:pPr>
              <w:pStyle w:val="Compact"/>
              <w:jc w:val="left"/>
            </w:pPr>
            <w:r>
              <w:t xml:space="preserve">Seminole</w:t>
            </w:r>
          </w:p>
        </w:tc>
        <w:tc>
          <w:tcPr/>
          <w:p>
            <w:pPr>
              <w:pStyle w:val="Compact"/>
              <w:jc w:val="right"/>
            </w:pPr>
            <w:r>
              <w:t xml:space="preserve">0.105</w:t>
            </w:r>
          </w:p>
        </w:tc>
      </w:tr>
      <w:tr>
        <w:tc>
          <w:tcPr/>
          <w:p>
            <w:pPr>
              <w:pStyle w:val="Compact"/>
              <w:jc w:val="left"/>
            </w:pPr>
            <w:r>
              <w:t xml:space="preserve">Lake</w:t>
            </w:r>
          </w:p>
        </w:tc>
        <w:tc>
          <w:tcPr/>
          <w:p>
            <w:pPr>
              <w:pStyle w:val="Compact"/>
              <w:jc w:val="right"/>
            </w:pPr>
            <w:r>
              <w:t xml:space="preserve">0.108</w:t>
            </w:r>
          </w:p>
        </w:tc>
        <w:tc>
          <w:tcPr/>
          <w:p>
            <w:pPr>
              <w:pStyle w:val="Compact"/>
              <w:jc w:val="left"/>
            </w:pPr>
            <w:r>
              <w:t xml:space="preserve">Orange</w:t>
            </w:r>
          </w:p>
        </w:tc>
        <w:tc>
          <w:tcPr/>
          <w:p>
            <w:pPr>
              <w:pStyle w:val="Compact"/>
              <w:jc w:val="right"/>
            </w:pPr>
            <w:r>
              <w:t xml:space="preserve">0.083</w:t>
            </w:r>
          </w:p>
        </w:tc>
      </w:tr>
      <w:tr>
        <w:tc>
          <w:tcPr/>
          <w:p>
            <w:pPr>
              <w:pStyle w:val="Compact"/>
              <w:jc w:val="left"/>
            </w:pPr>
            <w:r>
              <w:t xml:space="preserve">Flagler</w:t>
            </w:r>
          </w:p>
        </w:tc>
        <w:tc>
          <w:tcPr/>
          <w:p>
            <w:pPr>
              <w:pStyle w:val="Compact"/>
              <w:jc w:val="right"/>
            </w:pPr>
            <w:r>
              <w:t xml:space="preserve">0.079</w:t>
            </w:r>
          </w:p>
        </w:tc>
        <w:tc>
          <w:tcPr/>
          <w:p>
            <w:pPr>
              <w:pStyle w:val="Compact"/>
              <w:jc w:val="left"/>
            </w:pPr>
            <w:r>
              <w:t xml:space="preserve">Lake</w:t>
            </w:r>
          </w:p>
        </w:tc>
        <w:tc>
          <w:tcPr/>
          <w:p>
            <w:pPr>
              <w:pStyle w:val="Compact"/>
              <w:jc w:val="right"/>
            </w:pPr>
            <w:r>
              <w:t xml:space="preserve">0.039</w:t>
            </w:r>
          </w:p>
        </w:tc>
      </w:tr>
      <w:tr>
        <w:tc>
          <w:tcPr/>
          <w:p>
            <w:pPr>
              <w:pStyle w:val="Compact"/>
              <w:jc w:val="left"/>
            </w:pPr>
            <w:r>
              <w:t xml:space="preserve">Brevard</w:t>
            </w:r>
          </w:p>
        </w:tc>
        <w:tc>
          <w:tcPr/>
          <w:p>
            <w:pPr>
              <w:pStyle w:val="Compact"/>
              <w:jc w:val="right"/>
            </w:pPr>
            <w:r>
              <w:t xml:space="preserve">0.060</w:t>
            </w:r>
          </w:p>
        </w:tc>
        <w:tc>
          <w:tcPr/>
          <w:p>
            <w:pPr>
              <w:pStyle w:val="Compact"/>
              <w:jc w:val="left"/>
            </w:pPr>
            <w:r>
              <w:t xml:space="preserve">Flagler</w:t>
            </w:r>
          </w:p>
        </w:tc>
        <w:tc>
          <w:tcPr/>
          <w:p>
            <w:pPr>
              <w:pStyle w:val="Compact"/>
              <w:jc w:val="right"/>
            </w:pPr>
            <w:r>
              <w:t xml:space="preserve">0.029</w:t>
            </w:r>
          </w:p>
        </w:tc>
      </w:tr>
    </w:tbl>
    <w:p>
      <w:pPr>
        <w:pStyle w:val="BodyText"/>
      </w:pPr>
      <w:r>
        <w:rPr>
          <w:b/>
          <w:bCs/>
        </w:rPr>
        <w:t xml:space="preserve">Table 2. The origins of Florida resident anglers fishing in Volusia County, for 2014-2024.</w:t>
      </w:r>
      <w:r>
        <w:br/>
      </w:r>
      <w:r>
        <w:t xml:space="preserve">This table shows where Florida resident anglers come from when they fish Volusia County.</w:t>
      </w:r>
      <w:r>
        <w:t xml:space="preserve"> </w:t>
      </w:r>
      <w:r>
        <w:rPr>
          <w:b/>
          <w:bCs/>
        </w:rPr>
        <w:t xml:space="preserve">Columns 1 &amp; 2</w:t>
      </w:r>
      <w:r>
        <w:rPr>
          <w:b/>
          <w:bCs/>
        </w:rPr>
        <w:t xml:space="preserve"> </w:t>
      </w:r>
      <w:r>
        <w:t xml:space="preserve"> </w:t>
      </w:r>
      <w:r>
        <w:t xml:space="preserve">show origins of trips in Volusia County by anglers who are</w:t>
      </w:r>
      <w:r>
        <w:t xml:space="preserve"> </w:t>
      </w:r>
      <w:r>
        <w:rPr>
          <w:b/>
          <w:bCs/>
        </w:rPr>
        <w:t xml:space="preserve">not</w:t>
      </w:r>
      <w:r>
        <w:t xml:space="preserve"> </w:t>
      </w:r>
      <w:r>
        <w:t xml:space="preserve">residents of Volusia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Volusia County. This information can be used to identifying in-state advertising.</w:t>
      </w:r>
    </w:p>
    <w:p>
      <w:pPr>
        <w:pStyle w:val="BodyText"/>
      </w:pPr>
    </w:p>
    <w:bookmarkEnd w:id="24"/>
    <w:bookmarkEnd w:id="25"/>
    <w:bookmarkStart w:id="27" w:name="what-people-fish-for-in-volusia-county"/>
    <w:p>
      <w:pPr>
        <w:pStyle w:val="Heading3"/>
      </w:pPr>
      <w:r>
        <w:t xml:space="preserve">What people fish for in Volusia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50"/>
        <w:gridCol w:w="444"/>
        <w:gridCol w:w="1258"/>
        <w:gridCol w:w="444"/>
        <w:gridCol w:w="1480"/>
        <w:gridCol w:w="444"/>
        <w:gridCol w:w="1554"/>
        <w:gridCol w:w="444"/>
      </w:tblGrid>
      <w:tr>
        <w:trPr>
          <w:tblHeader w:val="on"/>
        </w:trPr>
        <w:tc>
          <w:tcPr/>
          <w:p>
            <w:pPr>
              <w:pStyle w:val="Compact"/>
              <w:jc w:val="left"/>
            </w:pPr>
            <w:r>
              <w:t xml:space="preserve">All Volusia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0.502</w:t>
            </w:r>
          </w:p>
        </w:tc>
        <w:tc>
          <w:tcPr/>
          <w:p>
            <w:pPr>
              <w:pStyle w:val="Compact"/>
              <w:jc w:val="left"/>
            </w:pPr>
            <w:r>
              <w:t xml:space="preserve">No Target</w:t>
            </w:r>
          </w:p>
        </w:tc>
        <w:tc>
          <w:tcPr/>
          <w:p>
            <w:pPr>
              <w:pStyle w:val="Compact"/>
              <w:jc w:val="right"/>
            </w:pPr>
            <w:r>
              <w:t xml:space="preserve">0.476</w:t>
            </w:r>
          </w:p>
        </w:tc>
        <w:tc>
          <w:tcPr/>
          <w:p>
            <w:pPr>
              <w:pStyle w:val="Compact"/>
              <w:jc w:val="left"/>
            </w:pPr>
            <w:r>
              <w:t xml:space="preserve">No Target</w:t>
            </w:r>
          </w:p>
        </w:tc>
        <w:tc>
          <w:tcPr/>
          <w:p>
            <w:pPr>
              <w:pStyle w:val="Compact"/>
              <w:jc w:val="right"/>
            </w:pPr>
            <w:r>
              <w:t xml:space="preserve">0.531</w:t>
            </w:r>
          </w:p>
        </w:tc>
        <w:tc>
          <w:tcPr/>
          <w:p>
            <w:pPr>
              <w:pStyle w:val="Compact"/>
              <w:jc w:val="left"/>
            </w:pPr>
            <w:r>
              <w:t xml:space="preserve">No Target</w:t>
            </w:r>
          </w:p>
        </w:tc>
        <w:tc>
          <w:tcPr/>
          <w:p>
            <w:pPr>
              <w:pStyle w:val="Compact"/>
              <w:jc w:val="right"/>
            </w:pPr>
            <w:r>
              <w:t xml:space="preserve">0.685</w:t>
            </w:r>
          </w:p>
        </w:tc>
      </w:tr>
      <w:tr>
        <w:tc>
          <w:tcPr/>
          <w:p>
            <w:pPr>
              <w:pStyle w:val="Compact"/>
              <w:jc w:val="left"/>
            </w:pPr>
            <w:r>
              <w:t xml:space="preserve">Red drum</w:t>
            </w:r>
          </w:p>
        </w:tc>
        <w:tc>
          <w:tcPr/>
          <w:p>
            <w:pPr>
              <w:pStyle w:val="Compact"/>
              <w:jc w:val="right"/>
            </w:pPr>
            <w:r>
              <w:t xml:space="preserve">0.232</w:t>
            </w:r>
          </w:p>
        </w:tc>
        <w:tc>
          <w:tcPr/>
          <w:p>
            <w:pPr>
              <w:pStyle w:val="Compact"/>
              <w:jc w:val="left"/>
            </w:pPr>
            <w:r>
              <w:t xml:space="preserve">Red drum</w:t>
            </w:r>
          </w:p>
        </w:tc>
        <w:tc>
          <w:tcPr/>
          <w:p>
            <w:pPr>
              <w:pStyle w:val="Compact"/>
              <w:jc w:val="right"/>
            </w:pPr>
            <w:r>
              <w:t xml:space="preserve">0.244</w:t>
            </w:r>
          </w:p>
        </w:tc>
        <w:tc>
          <w:tcPr/>
          <w:p>
            <w:pPr>
              <w:pStyle w:val="Compact"/>
              <w:jc w:val="left"/>
            </w:pPr>
            <w:r>
              <w:t xml:space="preserve">Red drum</w:t>
            </w:r>
          </w:p>
        </w:tc>
        <w:tc>
          <w:tcPr/>
          <w:p>
            <w:pPr>
              <w:pStyle w:val="Compact"/>
              <w:jc w:val="right"/>
            </w:pPr>
            <w:r>
              <w:t xml:space="preserve">0.220</w:t>
            </w:r>
          </w:p>
        </w:tc>
        <w:tc>
          <w:tcPr/>
          <w:p>
            <w:pPr>
              <w:pStyle w:val="Compact"/>
              <w:jc w:val="left"/>
            </w:pPr>
            <w:r>
              <w:t xml:space="preserve">Red drum</w:t>
            </w:r>
          </w:p>
        </w:tc>
        <w:tc>
          <w:tcPr/>
          <w:p>
            <w:pPr>
              <w:pStyle w:val="Compact"/>
              <w:jc w:val="right"/>
            </w:pPr>
            <w:r>
              <w:t xml:space="preserve">0.120</w:t>
            </w:r>
          </w:p>
        </w:tc>
      </w:tr>
      <w:tr>
        <w:tc>
          <w:tcPr/>
          <w:p>
            <w:pPr>
              <w:pStyle w:val="Compact"/>
              <w:jc w:val="left"/>
            </w:pPr>
            <w:r>
              <w:t xml:space="preserve">Spotted seatrout</w:t>
            </w:r>
          </w:p>
        </w:tc>
        <w:tc>
          <w:tcPr/>
          <w:p>
            <w:pPr>
              <w:pStyle w:val="Compact"/>
              <w:jc w:val="right"/>
            </w:pPr>
            <w:r>
              <w:t xml:space="preserve">0.036</w:t>
            </w:r>
          </w:p>
        </w:tc>
        <w:tc>
          <w:tcPr/>
          <w:p>
            <w:pPr>
              <w:pStyle w:val="Compact"/>
              <w:jc w:val="left"/>
            </w:pPr>
            <w:r>
              <w:t xml:space="preserve">Sheepshead</w:t>
            </w:r>
          </w:p>
        </w:tc>
        <w:tc>
          <w:tcPr/>
          <w:p>
            <w:pPr>
              <w:pStyle w:val="Compact"/>
              <w:jc w:val="right"/>
            </w:pPr>
            <w:r>
              <w:t xml:space="preserve">0.043</w:t>
            </w:r>
          </w:p>
        </w:tc>
        <w:tc>
          <w:tcPr/>
          <w:p>
            <w:pPr>
              <w:pStyle w:val="Compact"/>
              <w:jc w:val="left"/>
            </w:pPr>
            <w:r>
              <w:t xml:space="preserve">Spotted seatrout</w:t>
            </w:r>
          </w:p>
        </w:tc>
        <w:tc>
          <w:tcPr/>
          <w:p>
            <w:pPr>
              <w:pStyle w:val="Compact"/>
              <w:jc w:val="right"/>
            </w:pPr>
            <w:r>
              <w:t xml:space="preserve">0.037</w:t>
            </w:r>
          </w:p>
        </w:tc>
        <w:tc>
          <w:tcPr/>
          <w:p>
            <w:pPr>
              <w:pStyle w:val="Compact"/>
              <w:jc w:val="left"/>
            </w:pPr>
            <w:r>
              <w:t xml:space="preserve">King mackerel</w:t>
            </w:r>
          </w:p>
        </w:tc>
        <w:tc>
          <w:tcPr/>
          <w:p>
            <w:pPr>
              <w:pStyle w:val="Compact"/>
              <w:jc w:val="right"/>
            </w:pPr>
            <w:r>
              <w:t xml:space="preserve">0.026</w:t>
            </w:r>
          </w:p>
        </w:tc>
      </w:tr>
      <w:tr>
        <w:tc>
          <w:tcPr/>
          <w:p>
            <w:pPr>
              <w:pStyle w:val="Compact"/>
              <w:jc w:val="left"/>
            </w:pPr>
            <w:r>
              <w:t xml:space="preserve">Sheepshead</w:t>
            </w:r>
          </w:p>
        </w:tc>
        <w:tc>
          <w:tcPr/>
          <w:p>
            <w:pPr>
              <w:pStyle w:val="Compact"/>
              <w:jc w:val="right"/>
            </w:pPr>
            <w:r>
              <w:t xml:space="preserve">0.032</w:t>
            </w:r>
          </w:p>
        </w:tc>
        <w:tc>
          <w:tcPr/>
          <w:p>
            <w:pPr>
              <w:pStyle w:val="Compact"/>
              <w:jc w:val="left"/>
            </w:pPr>
            <w:r>
              <w:t xml:space="preserve">Spotted seatrout</w:t>
            </w:r>
          </w:p>
        </w:tc>
        <w:tc>
          <w:tcPr/>
          <w:p>
            <w:pPr>
              <w:pStyle w:val="Compact"/>
              <w:jc w:val="right"/>
            </w:pPr>
            <w:r>
              <w:t xml:space="preserve">0.035</w:t>
            </w:r>
          </w:p>
        </w:tc>
        <w:tc>
          <w:tcPr/>
          <w:p>
            <w:pPr>
              <w:pStyle w:val="Compact"/>
              <w:jc w:val="left"/>
            </w:pPr>
            <w:r>
              <w:t xml:space="preserve">Gray snapper</w:t>
            </w:r>
          </w:p>
        </w:tc>
        <w:tc>
          <w:tcPr/>
          <w:p>
            <w:pPr>
              <w:pStyle w:val="Compact"/>
              <w:jc w:val="right"/>
            </w:pPr>
            <w:r>
              <w:t xml:space="preserve">0.031</w:t>
            </w:r>
          </w:p>
        </w:tc>
        <w:tc>
          <w:tcPr/>
          <w:p>
            <w:pPr>
              <w:pStyle w:val="Compact"/>
              <w:jc w:val="left"/>
            </w:pPr>
            <w:r>
              <w:t xml:space="preserve">Requiem shark family</w:t>
            </w:r>
          </w:p>
        </w:tc>
        <w:tc>
          <w:tcPr/>
          <w:p>
            <w:pPr>
              <w:pStyle w:val="Compact"/>
              <w:jc w:val="right"/>
            </w:pPr>
            <w:r>
              <w:t xml:space="preserve">0.022</w:t>
            </w:r>
          </w:p>
        </w:tc>
      </w:tr>
      <w:tr>
        <w:tc>
          <w:tcPr/>
          <w:p>
            <w:pPr>
              <w:pStyle w:val="Compact"/>
              <w:jc w:val="left"/>
            </w:pPr>
            <w:r>
              <w:t xml:space="preserve">Gray snapper</w:t>
            </w:r>
          </w:p>
        </w:tc>
        <w:tc>
          <w:tcPr/>
          <w:p>
            <w:pPr>
              <w:pStyle w:val="Compact"/>
              <w:jc w:val="right"/>
            </w:pPr>
            <w:r>
              <w:t xml:space="preserve">0.031</w:t>
            </w:r>
          </w:p>
        </w:tc>
        <w:tc>
          <w:tcPr/>
          <w:p>
            <w:pPr>
              <w:pStyle w:val="Compact"/>
              <w:jc w:val="left"/>
            </w:pPr>
            <w:r>
              <w:t xml:space="preserve">Gray snapper</w:t>
            </w:r>
          </w:p>
        </w:tc>
        <w:tc>
          <w:tcPr/>
          <w:p>
            <w:pPr>
              <w:pStyle w:val="Compact"/>
              <w:jc w:val="right"/>
            </w:pPr>
            <w:r>
              <w:t xml:space="preserve">0.030</w:t>
            </w:r>
          </w:p>
        </w:tc>
        <w:tc>
          <w:tcPr/>
          <w:p>
            <w:pPr>
              <w:pStyle w:val="Compact"/>
              <w:jc w:val="left"/>
            </w:pPr>
            <w:r>
              <w:t xml:space="preserve">Dolphin</w:t>
            </w:r>
          </w:p>
        </w:tc>
        <w:tc>
          <w:tcPr/>
          <w:p>
            <w:pPr>
              <w:pStyle w:val="Compact"/>
              <w:jc w:val="right"/>
            </w:pPr>
            <w:r>
              <w:t xml:space="preserve">0.023</w:t>
            </w:r>
          </w:p>
        </w:tc>
        <w:tc>
          <w:tcPr/>
          <w:p>
            <w:pPr>
              <w:pStyle w:val="Compact"/>
              <w:jc w:val="left"/>
            </w:pPr>
            <w:r>
              <w:t xml:space="preserve">Spotted seatrout</w:t>
            </w:r>
          </w:p>
        </w:tc>
        <w:tc>
          <w:tcPr/>
          <w:p>
            <w:pPr>
              <w:pStyle w:val="Compact"/>
              <w:jc w:val="right"/>
            </w:pPr>
            <w:r>
              <w:t xml:space="preserve">0.022</w:t>
            </w:r>
          </w:p>
        </w:tc>
      </w:tr>
    </w:tbl>
    <w:p>
      <w:pPr>
        <w:pStyle w:val="BodyText"/>
      </w:pPr>
      <w:r>
        <w:rPr>
          <w:b/>
          <w:bCs/>
        </w:rPr>
        <w:t xml:space="preserve">Table 3. Proportions of species targeted by fishing trips made in Volusia County by anglers from various origins, for 2014-2024.</w:t>
      </w:r>
      <w:r>
        <w:br/>
      </w:r>
      <w:r>
        <w:t xml:space="preserve">This table shows the top 5 species anglers fish in Volusia County, depending on where they live.</w:t>
      </w:r>
      <w:r>
        <w:t xml:space="preserve"> </w:t>
      </w:r>
      <w:r>
        <w:rPr>
          <w:b/>
          <w:bCs/>
        </w:rPr>
        <w:t xml:space="preserve">Columns 1-2</w:t>
      </w:r>
      <w:r>
        <w:t xml:space="preserve"> </w:t>
      </w:r>
      <w:r>
        <w:t xml:space="preserve">shows what anglers fish for in Volusia County regardless of where they come from.</w:t>
      </w:r>
      <w:r>
        <w:t xml:space="preserve"> </w:t>
      </w:r>
      <w:r>
        <w:rPr>
          <w:b/>
          <w:bCs/>
        </w:rPr>
        <w:t xml:space="preserve">Columns 3-4</w:t>
      </w:r>
      <w:r>
        <w:t xml:space="preserve"> </w:t>
      </w:r>
      <w:r>
        <w:t xml:space="preserve">shows what Volusia County resident anglers fish for,</w:t>
      </w:r>
      <w:r>
        <w:t xml:space="preserve"> </w:t>
      </w:r>
      <w:r>
        <w:rPr>
          <w:b/>
          <w:bCs/>
        </w:rPr>
        <w:t xml:space="preserve">Columns 5-6</w:t>
      </w:r>
      <w:r>
        <w:t xml:space="preserve"> </w:t>
      </w:r>
      <w:r>
        <w:t xml:space="preserve">shows what anglers who live in Florida but not Volusia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kovac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BB0F1E-46C9-40C0-9321-E62739918D4F}"/>
</file>

<file path=customXml/itemProps2.xml><?xml version="1.0" encoding="utf-8"?>
<ds:datastoreItem xmlns:ds="http://schemas.openxmlformats.org/officeDocument/2006/customXml" ds:itemID="{07309D6A-F3A1-4FE2-B0D7-B7DDCC06371B}"/>
</file>

<file path=customXml/itemProps3.xml><?xml version="1.0" encoding="utf-8"?>
<ds:datastoreItem xmlns:ds="http://schemas.openxmlformats.org/officeDocument/2006/customXml" ds:itemID="{FFEC1408-E8F9-41A2-A958-BF21D0F1479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Volusia County</dc:title>
  <dc:creator>Prepared for Volusia County by Ed Camp (edvcamp@ufl.edu) Assistant Professor University of Florida, and Carolyn Kovacs, Regional Specialized Extension Agent Southeast Florida, c.kovacs@ufl.edu</dc:creator>
  <cp:keywords/>
  <dcterms:created xsi:type="dcterms:W3CDTF">2025-03-13T18:54:41Z</dcterms:created>
  <dcterms:modified xsi:type="dcterms:W3CDTF">2025-03-13T18:54:41Z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