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Wakulla County</w:t>
      </w:r>
    </w:p>
    <w:p>
      <w:pPr>
        <w:pStyle w:val="Author"/>
      </w:pPr>
      <w:r>
        <w:t xml:space="preserve">Prepared for Wakulla County by Ed Camp (</w:t>
      </w:r>
      <w:hyperlink r:id="rId20">
        <w:r>
          <w:rPr>
            <w:rStyle w:val="Hyperlink"/>
          </w:rPr>
          <w:t xml:space="preserve">edvcamp@ufl.edu</w:t>
        </w:r>
      </w:hyperlink>
      <w:r>
        <w:t xml:space="preserve">) Assistant Professor University of Florida, and 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Wakulla County</w:t>
      </w:r>
      <w:r>
        <w:t xml:space="preserve">. The report describes information about where people come from when they fish Wakulla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Wakulla County</w:t>
      </w:r>
      <w:r>
        <w:t xml:space="preserve">, which Savanna Barry can provide you.</w:t>
      </w:r>
    </w:p>
    <w:p>
      <w:pPr>
        <w:pStyle w:val="BodyText"/>
      </w:pPr>
    </w:p>
    <w:bookmarkEnd w:id="22"/>
    <w:bookmarkStart w:id="25" w:name="X76afe650bed5bfab472e4bb5311e29ee559a8cc"/>
    <w:p>
      <w:pPr>
        <w:pStyle w:val="Heading3"/>
      </w:pPr>
      <w:r>
        <w:t xml:space="preserve">Where people come from to fish Wakulla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48"/>
        <w:gridCol w:w="617"/>
        <w:gridCol w:w="1851"/>
        <w:gridCol w:w="617"/>
        <w:gridCol w:w="2468"/>
        <w:gridCol w:w="617"/>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Big Bend</w:t>
            </w:r>
          </w:p>
        </w:tc>
        <w:tc>
          <w:tcPr/>
          <w:p>
            <w:pPr>
              <w:pStyle w:val="Compact"/>
              <w:jc w:val="right"/>
            </w:pPr>
            <w:r>
              <w:t xml:space="preserve">Prop.</w:t>
            </w:r>
          </w:p>
        </w:tc>
        <w:tc>
          <w:tcPr/>
          <w:p>
            <w:pPr>
              <w:pStyle w:val="Compact"/>
              <w:jc w:val="left"/>
            </w:pPr>
            <w:r>
              <w:t xml:space="preserve">Trips to Wakulla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0.751</w:t>
            </w:r>
          </w:p>
        </w:tc>
        <w:tc>
          <w:tcPr/>
          <w:p>
            <w:pPr>
              <w:pStyle w:val="Compact"/>
              <w:jc w:val="left"/>
            </w:pPr>
            <w:r>
              <w:t xml:space="preserve">Georgia</w:t>
            </w:r>
          </w:p>
        </w:tc>
        <w:tc>
          <w:tcPr/>
          <w:p>
            <w:pPr>
              <w:pStyle w:val="Compact"/>
              <w:jc w:val="right"/>
            </w:pPr>
            <w:r>
              <w:t xml:space="preserve">0.780</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Alabama</w:t>
            </w:r>
          </w:p>
        </w:tc>
        <w:tc>
          <w:tcPr/>
          <w:p>
            <w:pPr>
              <w:pStyle w:val="Compact"/>
              <w:jc w:val="right"/>
            </w:pPr>
            <w:r>
              <w:t xml:space="preserve">0.068</w:t>
            </w:r>
          </w:p>
        </w:tc>
        <w:tc>
          <w:tcPr/>
          <w:p>
            <w:pPr>
              <w:pStyle w:val="Compact"/>
              <w:jc w:val="left"/>
            </w:pPr>
            <w:r>
              <w:t xml:space="preserve">Alabama</w:t>
            </w:r>
          </w:p>
        </w:tc>
        <w:tc>
          <w:tcPr/>
          <w:p>
            <w:pPr>
              <w:pStyle w:val="Compact"/>
              <w:jc w:val="right"/>
            </w:pPr>
            <w:r>
              <w:t xml:space="preserve">0.063</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Tennessee</w:t>
            </w:r>
          </w:p>
        </w:tc>
        <w:tc>
          <w:tcPr/>
          <w:p>
            <w:pPr>
              <w:pStyle w:val="Compact"/>
              <w:jc w:val="right"/>
            </w:pPr>
            <w:r>
              <w:t xml:space="preserve">0.043</w:t>
            </w:r>
          </w:p>
        </w:tc>
        <w:tc>
          <w:tcPr/>
          <w:p>
            <w:pPr>
              <w:pStyle w:val="Compact"/>
              <w:jc w:val="left"/>
            </w:pPr>
            <w:r>
              <w:t xml:space="preserve">Tennessee</w:t>
            </w:r>
          </w:p>
        </w:tc>
        <w:tc>
          <w:tcPr/>
          <w:p>
            <w:pPr>
              <w:pStyle w:val="Compact"/>
              <w:jc w:val="right"/>
            </w:pPr>
            <w:r>
              <w:t xml:space="preserve">0.039</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South Carolina</w:t>
            </w:r>
          </w:p>
        </w:tc>
        <w:tc>
          <w:tcPr/>
          <w:p>
            <w:pPr>
              <w:pStyle w:val="Compact"/>
              <w:jc w:val="right"/>
            </w:pPr>
            <w:r>
              <w:t xml:space="preserve">0.014</w:t>
            </w:r>
          </w:p>
        </w:tc>
        <w:tc>
          <w:tcPr/>
          <w:p>
            <w:pPr>
              <w:pStyle w:val="Compact"/>
              <w:jc w:val="left"/>
            </w:pPr>
            <w:r>
              <w:t xml:space="preserve">South Carolina</w:t>
            </w:r>
          </w:p>
        </w:tc>
        <w:tc>
          <w:tcPr/>
          <w:p>
            <w:pPr>
              <w:pStyle w:val="Compact"/>
              <w:jc w:val="right"/>
            </w:pPr>
            <w:r>
              <w:t xml:space="preserve">0.013</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North Carolina</w:t>
            </w:r>
          </w:p>
        </w:tc>
        <w:tc>
          <w:tcPr/>
          <w:p>
            <w:pPr>
              <w:pStyle w:val="Compact"/>
              <w:jc w:val="right"/>
            </w:pPr>
            <w:r>
              <w:t xml:space="preserve">0.011</w:t>
            </w:r>
          </w:p>
        </w:tc>
        <w:tc>
          <w:tcPr/>
          <w:p>
            <w:pPr>
              <w:pStyle w:val="Compact"/>
              <w:jc w:val="left"/>
            </w:pPr>
            <w:r>
              <w:t xml:space="preserve">New York</w:t>
            </w:r>
          </w:p>
        </w:tc>
        <w:tc>
          <w:tcPr/>
          <w:p>
            <w:pPr>
              <w:pStyle w:val="Compact"/>
              <w:jc w:val="right"/>
            </w:pPr>
            <w:r>
              <w:t xml:space="preserve">0.011</w:t>
            </w:r>
          </w:p>
        </w:tc>
      </w:tr>
    </w:tbl>
    <w:p>
      <w:pPr>
        <w:pStyle w:val="BodyText"/>
      </w:pPr>
      <w:r>
        <w:rPr>
          <w:b/>
          <w:bCs/>
        </w:rPr>
        <w:t xml:space="preserve">Table 1. The origins of out-of-state angler trips for Florida, the region, and specifically Wakulla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Wakulla County. Comparing the columns shows how Wakulla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Leon</w:t>
            </w:r>
          </w:p>
        </w:tc>
        <w:tc>
          <w:tcPr/>
          <w:p>
            <w:pPr>
              <w:pStyle w:val="Compact"/>
              <w:jc w:val="right"/>
            </w:pPr>
            <w:r>
              <w:t xml:space="preserve">0.755</w:t>
            </w:r>
          </w:p>
        </w:tc>
        <w:tc>
          <w:tcPr/>
          <w:p>
            <w:pPr>
              <w:pStyle w:val="Compact"/>
              <w:jc w:val="left"/>
            </w:pPr>
            <w:r>
              <w:t xml:space="preserve">Leon</w:t>
            </w:r>
          </w:p>
        </w:tc>
        <w:tc>
          <w:tcPr/>
          <w:p>
            <w:pPr>
              <w:pStyle w:val="Compact"/>
              <w:jc w:val="right"/>
            </w:pPr>
            <w:r>
              <w:t xml:space="preserve">0.518</w:t>
            </w:r>
          </w:p>
        </w:tc>
      </w:tr>
      <w:tr>
        <w:tc>
          <w:tcPr/>
          <w:p>
            <w:pPr>
              <w:pStyle w:val="Compact"/>
              <w:jc w:val="left"/>
            </w:pPr>
            <w:r>
              <w:t xml:space="preserve">Gadsden</w:t>
            </w:r>
          </w:p>
        </w:tc>
        <w:tc>
          <w:tcPr/>
          <w:p>
            <w:pPr>
              <w:pStyle w:val="Compact"/>
              <w:jc w:val="right"/>
            </w:pPr>
            <w:r>
              <w:t xml:space="preserve">0.059</w:t>
            </w:r>
          </w:p>
        </w:tc>
        <w:tc>
          <w:tcPr/>
          <w:p>
            <w:pPr>
              <w:pStyle w:val="Compact"/>
              <w:jc w:val="left"/>
            </w:pPr>
            <w:r>
              <w:t xml:space="preserve">Wakulla</w:t>
            </w:r>
          </w:p>
        </w:tc>
        <w:tc>
          <w:tcPr/>
          <w:p>
            <w:pPr>
              <w:pStyle w:val="Compact"/>
              <w:jc w:val="right"/>
            </w:pPr>
            <w:r>
              <w:t xml:space="preserve">0.314</w:t>
            </w:r>
          </w:p>
        </w:tc>
      </w:tr>
      <w:tr>
        <w:tc>
          <w:tcPr/>
          <w:p>
            <w:pPr>
              <w:pStyle w:val="Compact"/>
              <w:jc w:val="left"/>
            </w:pPr>
            <w:r>
              <w:t xml:space="preserve">Jefferson</w:t>
            </w:r>
          </w:p>
        </w:tc>
        <w:tc>
          <w:tcPr/>
          <w:p>
            <w:pPr>
              <w:pStyle w:val="Compact"/>
              <w:jc w:val="right"/>
            </w:pPr>
            <w:r>
              <w:t xml:space="preserve">0.048</w:t>
            </w:r>
          </w:p>
        </w:tc>
        <w:tc>
          <w:tcPr/>
          <w:p>
            <w:pPr>
              <w:pStyle w:val="Compact"/>
              <w:jc w:val="left"/>
            </w:pPr>
            <w:r>
              <w:t xml:space="preserve">Gadsden</w:t>
            </w:r>
          </w:p>
        </w:tc>
        <w:tc>
          <w:tcPr/>
          <w:p>
            <w:pPr>
              <w:pStyle w:val="Compact"/>
              <w:jc w:val="right"/>
            </w:pPr>
            <w:r>
              <w:t xml:space="preserve">0.040</w:t>
            </w:r>
          </w:p>
        </w:tc>
      </w:tr>
      <w:tr>
        <w:tc>
          <w:tcPr/>
          <w:p>
            <w:pPr>
              <w:pStyle w:val="Compact"/>
              <w:jc w:val="left"/>
            </w:pPr>
            <w:r>
              <w:t xml:space="preserve">Franklin</w:t>
            </w:r>
          </w:p>
        </w:tc>
        <w:tc>
          <w:tcPr/>
          <w:p>
            <w:pPr>
              <w:pStyle w:val="Compact"/>
              <w:jc w:val="right"/>
            </w:pPr>
            <w:r>
              <w:t xml:space="preserve">0.010</w:t>
            </w:r>
          </w:p>
        </w:tc>
        <w:tc>
          <w:tcPr/>
          <w:p>
            <w:pPr>
              <w:pStyle w:val="Compact"/>
              <w:jc w:val="left"/>
            </w:pPr>
            <w:r>
              <w:t xml:space="preserve">Jefferson</w:t>
            </w:r>
          </w:p>
        </w:tc>
        <w:tc>
          <w:tcPr/>
          <w:p>
            <w:pPr>
              <w:pStyle w:val="Compact"/>
              <w:jc w:val="right"/>
            </w:pPr>
            <w:r>
              <w:t xml:space="preserve">0.033</w:t>
            </w:r>
          </w:p>
        </w:tc>
      </w:tr>
      <w:tr>
        <w:tc>
          <w:tcPr/>
          <w:p>
            <w:pPr>
              <w:pStyle w:val="Compact"/>
              <w:jc w:val="left"/>
            </w:pPr>
            <w:r>
              <w:t xml:space="preserve">Brevard</w:t>
            </w:r>
          </w:p>
        </w:tc>
        <w:tc>
          <w:tcPr/>
          <w:p>
            <w:pPr>
              <w:pStyle w:val="Compact"/>
              <w:jc w:val="right"/>
            </w:pPr>
            <w:r>
              <w:t xml:space="preserve">0.008</w:t>
            </w:r>
          </w:p>
        </w:tc>
        <w:tc>
          <w:tcPr/>
          <w:p>
            <w:pPr>
              <w:pStyle w:val="Compact"/>
              <w:jc w:val="left"/>
            </w:pPr>
            <w:r>
              <w:t xml:space="preserve">Franklin</w:t>
            </w:r>
          </w:p>
        </w:tc>
        <w:tc>
          <w:tcPr/>
          <w:p>
            <w:pPr>
              <w:pStyle w:val="Compact"/>
              <w:jc w:val="right"/>
            </w:pPr>
            <w:r>
              <w:t xml:space="preserve">0.007</w:t>
            </w:r>
          </w:p>
        </w:tc>
      </w:tr>
    </w:tbl>
    <w:p>
      <w:pPr>
        <w:pStyle w:val="BodyText"/>
      </w:pPr>
      <w:r>
        <w:rPr>
          <w:b/>
          <w:bCs/>
        </w:rPr>
        <w:t xml:space="preserve">Table 2. The origins of Florida resident anglers fishing in Wakulla County, for 2014-2024.</w:t>
      </w:r>
      <w:r>
        <w:br/>
      </w:r>
      <w:r>
        <w:t xml:space="preserve">This table shows where Florida resident anglers come from when they fish Wakulla County.</w:t>
      </w:r>
      <w:r>
        <w:t xml:space="preserve"> </w:t>
      </w:r>
      <w:r>
        <w:rPr>
          <w:b/>
          <w:bCs/>
        </w:rPr>
        <w:t xml:space="preserve">Columns 1 &amp; 2</w:t>
      </w:r>
      <w:r>
        <w:rPr>
          <w:b/>
          <w:bCs/>
        </w:rPr>
        <w:t xml:space="preserve"> </w:t>
      </w:r>
      <w:r>
        <w:t xml:space="preserve"> </w:t>
      </w:r>
      <w:r>
        <w:t xml:space="preserve">show origins of trips in Wakulla County by anglers who are</w:t>
      </w:r>
      <w:r>
        <w:t xml:space="preserve"> </w:t>
      </w:r>
      <w:r>
        <w:rPr>
          <w:b/>
          <w:bCs/>
        </w:rPr>
        <w:t xml:space="preserve">not</w:t>
      </w:r>
      <w:r>
        <w:t xml:space="preserve"> </w:t>
      </w:r>
      <w:r>
        <w:t xml:space="preserve">residents of Wakulla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Wakulla County. This information can be used to identifying in-state advertising.</w:t>
      </w:r>
    </w:p>
    <w:p>
      <w:pPr>
        <w:pStyle w:val="BodyText"/>
      </w:pPr>
    </w:p>
    <w:bookmarkEnd w:id="24"/>
    <w:bookmarkEnd w:id="25"/>
    <w:bookmarkStart w:id="27" w:name="what-people-fish-for-in-wakulla-county"/>
    <w:p>
      <w:pPr>
        <w:pStyle w:val="Heading3"/>
      </w:pPr>
      <w:r>
        <w:t xml:space="preserve">What people fish for in Wakulla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85"/>
        <w:gridCol w:w="452"/>
        <w:gridCol w:w="1282"/>
        <w:gridCol w:w="452"/>
        <w:gridCol w:w="1508"/>
        <w:gridCol w:w="452"/>
        <w:gridCol w:w="1433"/>
        <w:gridCol w:w="452"/>
      </w:tblGrid>
      <w:tr>
        <w:trPr>
          <w:tblHeader w:val="on"/>
        </w:trPr>
        <w:tc>
          <w:tcPr/>
          <w:p>
            <w:pPr>
              <w:pStyle w:val="Compact"/>
              <w:jc w:val="left"/>
            </w:pPr>
            <w:r>
              <w:t xml:space="preserve">All Wakulla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Spotted seatrout</w:t>
            </w:r>
          </w:p>
        </w:tc>
        <w:tc>
          <w:tcPr/>
          <w:p>
            <w:pPr>
              <w:pStyle w:val="Compact"/>
              <w:jc w:val="right"/>
            </w:pPr>
            <w:r>
              <w:t xml:space="preserve">0.370</w:t>
            </w:r>
          </w:p>
        </w:tc>
        <w:tc>
          <w:tcPr/>
          <w:p>
            <w:pPr>
              <w:pStyle w:val="Compact"/>
              <w:jc w:val="left"/>
            </w:pPr>
            <w:r>
              <w:t xml:space="preserve">No Target</w:t>
            </w:r>
          </w:p>
        </w:tc>
        <w:tc>
          <w:tcPr/>
          <w:p>
            <w:pPr>
              <w:pStyle w:val="Compact"/>
              <w:jc w:val="right"/>
            </w:pPr>
            <w:r>
              <w:t xml:space="preserve">0.289</w:t>
            </w:r>
          </w:p>
        </w:tc>
        <w:tc>
          <w:tcPr/>
          <w:p>
            <w:pPr>
              <w:pStyle w:val="Compact"/>
              <w:jc w:val="left"/>
            </w:pPr>
            <w:r>
              <w:t xml:space="preserve">Spotted seatrout</w:t>
            </w:r>
          </w:p>
        </w:tc>
        <w:tc>
          <w:tcPr/>
          <w:p>
            <w:pPr>
              <w:pStyle w:val="Compact"/>
              <w:jc w:val="right"/>
            </w:pPr>
            <w:r>
              <w:t xml:space="preserve">0.405</w:t>
            </w:r>
          </w:p>
        </w:tc>
        <w:tc>
          <w:tcPr/>
          <w:p>
            <w:pPr>
              <w:pStyle w:val="Compact"/>
              <w:jc w:val="left"/>
            </w:pPr>
            <w:r>
              <w:t xml:space="preserve">Spotted seatrout</w:t>
            </w:r>
          </w:p>
        </w:tc>
        <w:tc>
          <w:tcPr/>
          <w:p>
            <w:pPr>
              <w:pStyle w:val="Compact"/>
              <w:jc w:val="right"/>
            </w:pPr>
            <w:r>
              <w:t xml:space="preserve">0.505</w:t>
            </w:r>
          </w:p>
        </w:tc>
      </w:tr>
      <w:tr>
        <w:tc>
          <w:tcPr/>
          <w:p>
            <w:pPr>
              <w:pStyle w:val="Compact"/>
              <w:jc w:val="left"/>
            </w:pPr>
            <w:r>
              <w:t xml:space="preserve">No Target</w:t>
            </w:r>
          </w:p>
        </w:tc>
        <w:tc>
          <w:tcPr/>
          <w:p>
            <w:pPr>
              <w:pStyle w:val="Compact"/>
              <w:jc w:val="right"/>
            </w:pPr>
            <w:r>
              <w:t xml:space="preserve">0.243</w:t>
            </w:r>
          </w:p>
        </w:tc>
        <w:tc>
          <w:tcPr/>
          <w:p>
            <w:pPr>
              <w:pStyle w:val="Compact"/>
              <w:jc w:val="left"/>
            </w:pPr>
            <w:r>
              <w:t xml:space="preserve">Red drum</w:t>
            </w:r>
          </w:p>
        </w:tc>
        <w:tc>
          <w:tcPr/>
          <w:p>
            <w:pPr>
              <w:pStyle w:val="Compact"/>
              <w:jc w:val="right"/>
            </w:pPr>
            <w:r>
              <w:t xml:space="preserve">0.275</w:t>
            </w:r>
          </w:p>
        </w:tc>
        <w:tc>
          <w:tcPr/>
          <w:p>
            <w:pPr>
              <w:pStyle w:val="Compact"/>
              <w:jc w:val="left"/>
            </w:pPr>
            <w:r>
              <w:t xml:space="preserve">Red drum</w:t>
            </w:r>
          </w:p>
        </w:tc>
        <w:tc>
          <w:tcPr/>
          <w:p>
            <w:pPr>
              <w:pStyle w:val="Compact"/>
              <w:jc w:val="right"/>
            </w:pPr>
            <w:r>
              <w:t xml:space="preserve">0.233</w:t>
            </w:r>
          </w:p>
        </w:tc>
        <w:tc>
          <w:tcPr/>
          <w:p>
            <w:pPr>
              <w:pStyle w:val="Compact"/>
              <w:jc w:val="left"/>
            </w:pPr>
            <w:r>
              <w:t xml:space="preserve">No Target</w:t>
            </w:r>
          </w:p>
        </w:tc>
        <w:tc>
          <w:tcPr/>
          <w:p>
            <w:pPr>
              <w:pStyle w:val="Compact"/>
              <w:jc w:val="right"/>
            </w:pPr>
            <w:r>
              <w:t xml:space="preserve">0.253</w:t>
            </w:r>
          </w:p>
        </w:tc>
      </w:tr>
      <w:tr>
        <w:tc>
          <w:tcPr/>
          <w:p>
            <w:pPr>
              <w:pStyle w:val="Compact"/>
              <w:jc w:val="left"/>
            </w:pPr>
            <w:r>
              <w:t xml:space="preserve">Red drum</w:t>
            </w:r>
          </w:p>
        </w:tc>
        <w:tc>
          <w:tcPr/>
          <w:p>
            <w:pPr>
              <w:pStyle w:val="Compact"/>
              <w:jc w:val="right"/>
            </w:pPr>
            <w:r>
              <w:t xml:space="preserve">0.242</w:t>
            </w:r>
          </w:p>
        </w:tc>
        <w:tc>
          <w:tcPr/>
          <w:p>
            <w:pPr>
              <w:pStyle w:val="Compact"/>
              <w:jc w:val="left"/>
            </w:pPr>
            <w:r>
              <w:t xml:space="preserve">Spotted seatrout</w:t>
            </w:r>
          </w:p>
        </w:tc>
        <w:tc>
          <w:tcPr/>
          <w:p>
            <w:pPr>
              <w:pStyle w:val="Compact"/>
              <w:jc w:val="right"/>
            </w:pPr>
            <w:r>
              <w:t xml:space="preserve">0.248</w:t>
            </w:r>
          </w:p>
        </w:tc>
        <w:tc>
          <w:tcPr/>
          <w:p>
            <w:pPr>
              <w:pStyle w:val="Compact"/>
              <w:jc w:val="left"/>
            </w:pPr>
            <w:r>
              <w:t xml:space="preserve">No Target</w:t>
            </w:r>
          </w:p>
        </w:tc>
        <w:tc>
          <w:tcPr/>
          <w:p>
            <w:pPr>
              <w:pStyle w:val="Compact"/>
              <w:jc w:val="right"/>
            </w:pPr>
            <w:r>
              <w:t xml:space="preserve">0.230</w:t>
            </w:r>
          </w:p>
        </w:tc>
        <w:tc>
          <w:tcPr/>
          <w:p>
            <w:pPr>
              <w:pStyle w:val="Compact"/>
              <w:jc w:val="left"/>
            </w:pPr>
            <w:r>
              <w:t xml:space="preserve">Red drum</w:t>
            </w:r>
          </w:p>
        </w:tc>
        <w:tc>
          <w:tcPr/>
          <w:p>
            <w:pPr>
              <w:pStyle w:val="Compact"/>
              <w:jc w:val="right"/>
            </w:pPr>
            <w:r>
              <w:t xml:space="preserve">0.111</w:t>
            </w:r>
          </w:p>
        </w:tc>
      </w:tr>
      <w:tr>
        <w:tc>
          <w:tcPr/>
          <w:p>
            <w:pPr>
              <w:pStyle w:val="Compact"/>
              <w:jc w:val="left"/>
            </w:pPr>
            <w:r>
              <w:t xml:space="preserve">Gag</w:t>
            </w:r>
          </w:p>
        </w:tc>
        <w:tc>
          <w:tcPr/>
          <w:p>
            <w:pPr>
              <w:pStyle w:val="Compact"/>
              <w:jc w:val="right"/>
            </w:pPr>
            <w:r>
              <w:t xml:space="preserve">0.023</w:t>
            </w:r>
          </w:p>
        </w:tc>
        <w:tc>
          <w:tcPr/>
          <w:p>
            <w:pPr>
              <w:pStyle w:val="Compact"/>
              <w:jc w:val="left"/>
            </w:pPr>
            <w:r>
              <w:t xml:space="preserve">Cobia</w:t>
            </w:r>
          </w:p>
        </w:tc>
        <w:tc>
          <w:tcPr/>
          <w:p>
            <w:pPr>
              <w:pStyle w:val="Compact"/>
              <w:jc w:val="right"/>
            </w:pPr>
            <w:r>
              <w:t xml:space="preserve">0.049</w:t>
            </w:r>
          </w:p>
        </w:tc>
        <w:tc>
          <w:tcPr/>
          <w:p>
            <w:pPr>
              <w:pStyle w:val="Compact"/>
              <w:jc w:val="left"/>
            </w:pPr>
            <w:r>
              <w:t xml:space="preserve">Gag</w:t>
            </w:r>
          </w:p>
        </w:tc>
        <w:tc>
          <w:tcPr/>
          <w:p>
            <w:pPr>
              <w:pStyle w:val="Compact"/>
              <w:jc w:val="right"/>
            </w:pPr>
            <w:r>
              <w:t xml:space="preserve">0.023</w:t>
            </w:r>
          </w:p>
        </w:tc>
        <w:tc>
          <w:tcPr/>
          <w:p>
            <w:pPr>
              <w:pStyle w:val="Compact"/>
              <w:jc w:val="left"/>
            </w:pPr>
            <w:r>
              <w:t xml:space="preserve">Red snapper</w:t>
            </w:r>
          </w:p>
        </w:tc>
        <w:tc>
          <w:tcPr/>
          <w:p>
            <w:pPr>
              <w:pStyle w:val="Compact"/>
              <w:jc w:val="right"/>
            </w:pPr>
            <w:r>
              <w:t xml:space="preserve">0.028</w:t>
            </w:r>
          </w:p>
        </w:tc>
      </w:tr>
      <w:tr>
        <w:tc>
          <w:tcPr/>
          <w:p>
            <w:pPr>
              <w:pStyle w:val="Compact"/>
              <w:jc w:val="left"/>
            </w:pPr>
            <w:r>
              <w:t xml:space="preserve">Cobia</w:t>
            </w:r>
          </w:p>
        </w:tc>
        <w:tc>
          <w:tcPr/>
          <w:p>
            <w:pPr>
              <w:pStyle w:val="Compact"/>
              <w:jc w:val="right"/>
            </w:pPr>
            <w:r>
              <w:t xml:space="preserve">0.021</w:t>
            </w:r>
          </w:p>
        </w:tc>
        <w:tc>
          <w:tcPr/>
          <w:p>
            <w:pPr>
              <w:pStyle w:val="Compact"/>
              <w:jc w:val="left"/>
            </w:pPr>
            <w:r>
              <w:t xml:space="preserve">Gag</w:t>
            </w:r>
          </w:p>
        </w:tc>
        <w:tc>
          <w:tcPr/>
          <w:p>
            <w:pPr>
              <w:pStyle w:val="Compact"/>
              <w:jc w:val="right"/>
            </w:pPr>
            <w:r>
              <w:t xml:space="preserve">0.026</w:t>
            </w:r>
          </w:p>
        </w:tc>
        <w:tc>
          <w:tcPr/>
          <w:p>
            <w:pPr>
              <w:pStyle w:val="Compact"/>
              <w:jc w:val="left"/>
            </w:pPr>
            <w:r>
              <w:t xml:space="preserve">Red snapper</w:t>
            </w:r>
          </w:p>
        </w:tc>
        <w:tc>
          <w:tcPr/>
          <w:p>
            <w:pPr>
              <w:pStyle w:val="Compact"/>
              <w:jc w:val="right"/>
            </w:pPr>
            <w:r>
              <w:t xml:space="preserve">0.021</w:t>
            </w:r>
          </w:p>
        </w:tc>
        <w:tc>
          <w:tcPr/>
          <w:p>
            <w:pPr>
              <w:pStyle w:val="Compact"/>
              <w:jc w:val="left"/>
            </w:pPr>
            <w:r>
              <w:t xml:space="preserve">Atlantic tarpon</w:t>
            </w:r>
          </w:p>
        </w:tc>
        <w:tc>
          <w:tcPr/>
          <w:p>
            <w:pPr>
              <w:pStyle w:val="Compact"/>
              <w:jc w:val="right"/>
            </w:pPr>
            <w:r>
              <w:t xml:space="preserve">0.024</w:t>
            </w:r>
          </w:p>
        </w:tc>
      </w:tr>
    </w:tbl>
    <w:p>
      <w:pPr>
        <w:pStyle w:val="BodyText"/>
      </w:pPr>
      <w:r>
        <w:rPr>
          <w:b/>
          <w:bCs/>
        </w:rPr>
        <w:t xml:space="preserve">Table 3. Proportions of species targeted by fishing trips made in Wakulla County by anglers from various origins, for 2014-2024.</w:t>
      </w:r>
      <w:r>
        <w:br/>
      </w:r>
      <w:r>
        <w:t xml:space="preserve">This table shows the top 5 species anglers fish in Wakulla County, depending on where they live.</w:t>
      </w:r>
      <w:r>
        <w:t xml:space="preserve"> </w:t>
      </w:r>
      <w:r>
        <w:rPr>
          <w:b/>
          <w:bCs/>
        </w:rPr>
        <w:t xml:space="preserve">Columns 1-2</w:t>
      </w:r>
      <w:r>
        <w:t xml:space="preserve"> </w:t>
      </w:r>
      <w:r>
        <w:t xml:space="preserve">shows what anglers fish for in Wakulla County regardless of where they come from.</w:t>
      </w:r>
      <w:r>
        <w:t xml:space="preserve"> </w:t>
      </w:r>
      <w:r>
        <w:rPr>
          <w:b/>
          <w:bCs/>
        </w:rPr>
        <w:t xml:space="preserve">Columns 3-4</w:t>
      </w:r>
      <w:r>
        <w:t xml:space="preserve"> </w:t>
      </w:r>
      <w:r>
        <w:t xml:space="preserve">shows what Wakulla County resident anglers fish for,</w:t>
      </w:r>
      <w:r>
        <w:t xml:space="preserve"> </w:t>
      </w:r>
      <w:r>
        <w:rPr>
          <w:b/>
          <w:bCs/>
        </w:rPr>
        <w:t xml:space="preserve">Columns 5-6</w:t>
      </w:r>
      <w:r>
        <w:t xml:space="preserve"> </w:t>
      </w:r>
      <w:r>
        <w:t xml:space="preserve">shows what anglers who live in Florida but not Wakulla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022E60-C972-40EC-9420-4C3020E3BF32}"/>
</file>

<file path=customXml/itemProps2.xml><?xml version="1.0" encoding="utf-8"?>
<ds:datastoreItem xmlns:ds="http://schemas.openxmlformats.org/officeDocument/2006/customXml" ds:itemID="{9F77D3C1-E2A3-4414-B3DF-DB7FE02F0512}"/>
</file>

<file path=customXml/itemProps3.xml><?xml version="1.0" encoding="utf-8"?>
<ds:datastoreItem xmlns:ds="http://schemas.openxmlformats.org/officeDocument/2006/customXml" ds:itemID="{37CF0C83-0F6F-456C-9F69-9D3FAB3028E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Wakulla County</dc:title>
  <dc:creator>Prepared for Wakulla County by Ed Camp (edvcamp@ufl.edu) Assistant Professor University of Florida, and Savanna Barry, Florida Sea Grant Regional Specialized Extension Agent Nature Coast, savanna.barry@ufl.edu</dc:creator>
  <cp:keywords/>
  <dcterms:created xsi:type="dcterms:W3CDTF">2025-03-13T18:54:56Z</dcterms:created>
  <dcterms:modified xsi:type="dcterms:W3CDTF">2025-03-13T18:54:56Z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