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Noto Serif CJK SC" w:hAnsi="Noto Serif CJK SC" w:eastAsia="Noto Serif CJK SC"/>
          <w:b/>
          <w:sz w:val="38"/>
        </w:rPr>
        <w:t>OpenVLA-7B 轻量微调与 SimplerEnv WidowX 闭环评测</w:t>
      </w:r>
    </w:p>
    <w:p>
      <w:pPr>
        <w:spacing w:after="200"/>
        <w:jc w:val="center"/>
      </w:pPr>
      <w:r>
        <w:rPr>
          <w:rFonts w:ascii="Noto Serif CJK SC" w:hAnsi="Noto Serif CJK SC" w:eastAsia="Noto Serif CJK SC"/>
          <w:color w:val="555555"/>
          <w:sz w:val="19"/>
        </w:rPr>
        <w:t>机器学习课程大作业 · B 类（工程实践型）</w:t>
        <w:br/>
        <w:t>姓名/学号：胥昊天（26213050409）  |  2026-10-19</w:t>
        <w:br/>
        <w:t>组员：曹奕伦（26113050003）、徐厚泽（26113050327）、彭泽宇（26213050317）、刘翔（26113050287）</w:t>
      </w:r>
    </w:p>
    <w:p>
      <w:pPr>
        <w:spacing w:before="200" w:after="60"/>
        <w:pBdr>
          <w:bottom w:val="single" w:sz="6" w:space="1" w:color="1F6F5C"/>
        </w:pBdr>
      </w:pPr>
      <w:r>
        <w:rPr>
          <w:rFonts w:ascii="Noto Serif CJK SC" w:hAnsi="Noto Serif CJK SC" w:eastAsia="Noto Serif CJK SC"/>
          <w:b/>
          <w:color w:val="1F6F5C"/>
          <w:sz w:val="28"/>
        </w:rPr>
        <w:t>1. 项目概述</w:t>
      </w:r>
    </w:p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21"/>
        </w:rPr>
        <w:t>本项目完成一次完整的 VLA 工程链路：使用公开的 OpenVLA-7B 作为基础模型，在 BridgeData V2 的 WidowX 子集上做 LoRA 轻量微调，并在 SimplerEnv 的 WidowX Visual Matching 环境中对 Base 与 Final 进行闭环评测。必做评测为 T1（勺子放到毛巾上）与 T2（茄子放入篮子），每个模型每个任务 10 个预先固定的初始状态，共 40 个 episode。</w:t>
      </w:r>
    </w:p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21"/>
        </w:rPr>
        <w:t>课程不要求 Final 一定优于 Base。本项目最终结果：Base B-SimplerScore 20.0，Final 30.0，Final − Base = +10.0 个百分点（T1 −10，T2 +30）。训练 loss 从约 11.9 降至 3.0–3.3。我们在排查中发现并修正了 prompt 模板缺失，并定位到仿真渲染锐度导致的视觉域差异；加入统一高斯模糊后，Base/Final 从 sharp 基线的 0/10 提升到 20.0/30.0。报告将区分“有证据的观察”和“尚未验证的解释”。</w:t>
      </w:r>
    </w:p>
    <w:p>
      <w:pPr>
        <w:spacing w:before="200" w:after="60"/>
        <w:pBdr>
          <w:bottom w:val="single" w:sz="6" w:space="1" w:color="1F6F5C"/>
        </w:pBdr>
      </w:pPr>
      <w:r>
        <w:rPr>
          <w:rFonts w:ascii="Noto Serif CJK SC" w:hAnsi="Noto Serif CJK SC" w:eastAsia="Noto Serif CJK SC"/>
          <w:b/>
          <w:color w:val="1F6F5C"/>
          <w:sz w:val="28"/>
        </w:rPr>
        <w:t>2. 模型选择与依据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项目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内容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基础模型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openvla/openvla-7b（OpenVLA，7B 参数）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WidowX 数据依据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OpenVLA 在 Open X-Embodiment 上预训练；BridgeData V2 是 OXE 的组成数据集之一，由 WidowX 真机采集。模型卡：https://huggingface.co/openvla/openvla-7b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动作接口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主视角 RGB（预处理为 224×224）+ 语言指令；输出 7 维末端增量 [x, y, z, roll, pitch, yaw, gripper]；夹爪 1=张开、0=闭合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微调模块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LoRA（rank 32，target_modules=all-linear），可训练参数 110,828,288 / 7,652,065,472（1.45%）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Final 形式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LoRA adapter（约 484 MB），依赖上述 Base，不保存合并后的 15 GB 全模型</w:t>
            </w:r>
          </w:p>
        </w:tc>
      </w:tr>
    </w:tbl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21"/>
        </w:rPr>
        <w:t>选择 OpenVLA 的原因：它是 PPT 列出的公开 VLA 之一，具备 WidowX/BridgeData V2 预训练依据，有社区维护的 SimplerEnv WidowX 适配器，且 7B 规模的 LoRA 微调能在单张 32 GB RTX 5090 上完成。相比 π0/π0.5/GR00T，OpenVLA 的 SimplerEnv WidowX 适配代码更成熟；相比 Octo，它更符合课程对“PPT 中 VLA”的要求。我们使用社区适配器 simpler_env/policies/openvla，并把其 flash_attention_2 改为 sdpa（RTX 5090 上旧版 flash-attn 不可用）。</w:t>
      </w:r>
    </w:p>
    <w:p>
      <w:pPr>
        <w:spacing w:before="200" w:after="60"/>
        <w:pBdr>
          <w:bottom w:val="single" w:sz="6" w:space="1" w:color="1F6F5C"/>
        </w:pBdr>
      </w:pPr>
      <w:r>
        <w:rPr>
          <w:rFonts w:ascii="Noto Serif CJK SC" w:hAnsi="Noto Serif CJK SC" w:eastAsia="Noto Serif CJK SC"/>
          <w:b/>
          <w:color w:val="1F6F5C"/>
          <w:sz w:val="28"/>
        </w:rPr>
        <w:t>3. 数据与处理</w:t>
      </w:r>
    </w:p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21"/>
        </w:rPr>
        <w:t>数据来自 BridgeData V2（WidowX），使用 Hugging Face 镜像 IPEC-COMMUNITY/bridge_orig_lerobot（LeRobot v2 格式；原始项目：https://rail-berkeley.github.io/bridgedata/）。按语言指令筛选勺子/毛巾、茄子、胡萝卜/盘子、绿黄方块叠放相关轨迹，每类最多 400 条，共 1584 条轨迹（3168 个文件，约 362 MB）。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字段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处理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图像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主视角 image_0，256×256，5 fps；训练时缩放到 224×224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语言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language_instruction，来自 BridgeData V2 的原始指令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动作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7 维 [x,y,z,roll,pitch,yaw,gripper]；gripper 1=张开、0=闭合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状态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8 维 [x,y,z,roll,pitch,yaw,pad,gripper]；仅用于动作重标定/统计，不输入模型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归一化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Base 使用预训练 bridge_orig 统计量；Final 使用训练子集统计量（保存在 run 目录 dataset_statistics.json，推理时显式覆盖）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划分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按完整轨迹划分：train 1506 条、val 78 条；不存在同一轨迹跨 split 的帧泄漏</w:t>
            </w:r>
          </w:p>
        </w:tc>
      </w:tr>
    </w:tbl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color w:val="555555"/>
          <w:sz w:val="18"/>
        </w:rPr>
        <w:t>说明：镜像的 LeRobot 版本已经去掉了官方 Bridge TFDS 的首帧零动作；因此我们注册了 bridge_subset transform，只做夹爪二值化和基于状态的 reached-action 重标定，不删除第一帧。数据检查确认视频帧数与 parquet 行数一致、图像为 256×256 uint8、动作范围为小幅末端增量、夹爪为 0/1，且 RLDS 可被 OpenVLA 的 RLDSDataset 正常读取。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40000" cy="23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samp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line="300" w:lineRule="auto"/>
        <w:jc w:val="center"/>
      </w:pPr>
      <w:r>
        <w:rPr>
          <w:rFonts w:ascii="Noto Serif CJK SC" w:hAnsi="Noto Serif CJK SC" w:eastAsia="Noto Serif CJK SC"/>
          <w:b w:val="0"/>
          <w:color w:val="555555"/>
          <w:sz w:val="17"/>
        </w:rPr>
        <w:t>图：BridgeData V2 样本（episode 150，第 0 帧）。instruction = "put eggplant on plate"；action = [-0.0001, -0.0030, -0.0063, -0.0045, 0.0193, -0.0037, 1.0]（x, y, z, roll, pitch, yaw, gripper；gripper=1 表示张开）。</w:t>
      </w:r>
    </w:p>
    <w:p>
      <w:pPr>
        <w:spacing w:before="200" w:after="60"/>
        <w:pBdr>
          <w:bottom w:val="single" w:sz="6" w:space="1" w:color="1F6F5C"/>
        </w:pBdr>
      </w:pPr>
      <w:r>
        <w:rPr>
          <w:rFonts w:ascii="Noto Serif CJK SC" w:hAnsi="Noto Serif CJK SC" w:eastAsia="Noto Serif CJK SC"/>
          <w:b/>
          <w:color w:val="1F6F5C"/>
          <w:sz w:val="28"/>
        </w:rPr>
        <w:t>4. 训练方法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  <w:tblHeader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配置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值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微调方式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LoRA，rank 32，all-linear，dropout 0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优化器 / 学习率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AdamW，lr 5e-4，weight decay 0.01，grad clip 1.0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batch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batch 2 × 梯度累积 4 = 等效 batch 8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训练步数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固定 3000 个优化步（不根据正式评测结果选 checkpoint）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数据增强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关闭（image_aug=False），减少 CPU 数据管线开销并便于复现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计算资源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单张 RTX 5090 32 GB；实际耗时约 48 分钟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训练日志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results/train/train_log.txt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Final 选择</w:t>
            </w:r>
          </w:p>
        </w:tc>
        <w:tc>
          <w:tcPr>
            <w:tcW w:type="dxa" w:w="782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预先固定 3000 步的最终 adapter；未使用正式评测结果挑权重</w:t>
            </w:r>
          </w:p>
        </w:tc>
      </w:tr>
    </w:tbl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21"/>
        </w:rPr>
        <w:t>训练 loss 从约 11.9 降到 3.0–3.3，action accuracy 从约 0.14 升到 0.20–0.25。loss 下降说明模型在训练子集上确实学到了东西；但训练目标与 SimplerEnv 的闭环成功率并不等价。</w:t>
      </w:r>
    </w:p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color w:val="555555"/>
          <w:sz w:val="18"/>
        </w:rPr>
        <w:t>磁盘约束说明：合并后的 15 GB 全模型会与 15 GB Base 同时占用磁盘，当前共享盘只剩约 16 GB，因此本项目只保存 LoRA adapter（约 484 MB）。课程提交规范允许轻量权重，只需注明依赖的 Base 版本和加载方式；加载示例见第 8 节与 checkpoint_link.txt。</w:t>
      </w:r>
    </w:p>
    <w:p>
      <w:pPr>
        <w:spacing w:before="200" w:after="60"/>
        <w:pBdr>
          <w:bottom w:val="single" w:sz="6" w:space="1" w:color="1F6F5C"/>
        </w:pBdr>
      </w:pPr>
      <w:r>
        <w:rPr>
          <w:rFonts w:ascii="Noto Serif CJK SC" w:hAnsi="Noto Serif CJK SC" w:eastAsia="Noto Serif CJK SC"/>
          <w:b/>
          <w:color w:val="1F6F5C"/>
          <w:sz w:val="28"/>
        </w:rPr>
        <w:t>5. 评测设置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项目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设置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环境版本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SimplerEnv commit eddb5690749a1e34267807c0f7b5eede323918d7；ManiSkill2_real2sim commit ef7a4d4fdf4b69f2c2154db5b15b9ac8dfe10682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T1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PutSpoonOnTableClothInScene-v0，scene bridge_table_1_v1，max 60 steps，指令 put the spoon on the towel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T2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PutEggplantInBasketScene-v0，scene bridge_table_1_v2，max 120 steps，指令 put eggplant into yellow basket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控制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WidowX Visual Matching；控制频率 5 Hz，仿真频率 500 Hz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图像预处理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Base/Final 统一高斯模糊 sigma=1.5（configs/policy_preprocess.json）；sigma 仅在开发状态 id 10–12 上选择，正式状态 0–9 未参与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初始状态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object episode id 0–9，Robot init 固定；清单见 configs/eval_states.json。开发/冒烟只用 id 10–23，正式评测未使用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随机性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环境 seed 与模型 seed 分开记录在逐 episode CSV；两个模型使用同一清单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成功判定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严格读取环境原生 info["success"]，不用 done/terminated 代替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进程隔离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Base 与 Final 在独立进程中加载和评测；无人工干预、不筛除失败 episode</w:t>
            </w:r>
          </w:p>
        </w:tc>
      </w:tr>
    </w:tbl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color w:val="555555"/>
          <w:sz w:val="18"/>
        </w:rPr>
        <w:t>评测在 GPU 0 上串行完成。共享服务器上 GPU 1/2 在管理员清理进程后出现 CUDA context 初始化异常（nvidia-smi 显示空闲但 CUDA 分配失败），因此没有使用并行评测；这不改变任务、初始状态或协议。</w:t>
      </w:r>
    </w:p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color w:val="555555"/>
          <w:sz w:val="18"/>
        </w:rPr>
        <w:t>重要修正：社区适配器最初直接把原始指令传给 processor，漏掉了 OpenVLA 训练时的 prompt 模板（In: What action should the robot take to {instruction}?\nOut:）。修正后我们重跑了 Base/Final 的 40 个正式 episode；本报告结果均为修正 prompt 后的结果。修正前的裸 prompt 结果归档在 results/archive/bare_prompt/，不用于最终结论。</w:t>
      </w:r>
    </w:p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color w:val="555555"/>
          <w:sz w:val="18"/>
        </w:rPr>
        <w:t>域适应：为缩小真实相机图像与 SimplerEnv 渲染图像的锐度差异，Base/Final 统一在送入模型前做 sigma=1.5 的高斯模糊；sigma 只在开发状态 object id 10–12 上选择，正式状态 0–9 未参与。模糊是 policy 的输入预处理，不改变环境、任务或初始状态；配置见 configs/policy_preprocess.json。</w:t>
      </w:r>
    </w:p>
    <w:p>
      <w:pPr>
        <w:spacing w:before="200" w:after="60"/>
        <w:pBdr>
          <w:bottom w:val="single" w:sz="6" w:space="1" w:color="1F6F5C"/>
        </w:pBdr>
      </w:pPr>
      <w:r>
        <w:rPr>
          <w:rFonts w:ascii="Noto Serif CJK SC" w:hAnsi="Noto Serif CJK SC" w:eastAsia="Noto Serif CJK SC"/>
          <w:b/>
          <w:color w:val="1F6F5C"/>
          <w:sz w:val="28"/>
        </w:rPr>
        <w:t>6. 实验结果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rPr>
          <w:cantSplit/>
          <w:tblHeader/>
        </w:trP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模型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训练模块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T1 成功数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T2 成功数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B-SimplerScore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Base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未进行本次微调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2/10（20%）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2/10（20%）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20.0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Final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LoRA (r=32)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1/10（10%）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5/10（50%）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30.0</w:t>
            </w:r>
          </w:p>
        </w:tc>
      </w:tr>
    </w:tbl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21"/>
        </w:rPr>
        <w:t>Final − Base = +10.0 个百分点（T1 −10.0，T2 +30.0）。40 个 episode 全部按预注册清单完成，逐 episode 记录在 results/episodes.csv，汇总在 results/results.csv，视频在 results/videos/。</w:t>
      </w:r>
    </w:p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21"/>
        </w:rPr>
        <w:t>作为消融：同样修正 prompt、但不加模糊时，Base/Final 在正式 40 个 episode 上均为 0/10（归档在 results/archive/sharp_baseline/）。因此本次提升主要来自图像域适应；Final 相对 Base 的 +10.0 pp 则来自 LoRA 微调（主要集中在 T2）。10 个 episode 的方差较大，+10.0 pp 和 T2 +30.0 pp 不能视为稳定优势。</w:t>
      </w:r>
    </w:p>
    <w:p>
      <w:pPr>
        <w:spacing w:before="200" w:after="60"/>
        <w:pBdr>
          <w:bottom w:val="single" w:sz="6" w:space="1" w:color="1F6F5C"/>
        </w:pBdr>
      </w:pPr>
      <w:r>
        <w:rPr>
          <w:rFonts w:ascii="Noto Serif CJK SC" w:hAnsi="Noto Serif CJK SC" w:eastAsia="Noto Serif CJK SC"/>
          <w:b/>
          <w:color w:val="1F6F5C"/>
          <w:sz w:val="28"/>
        </w:rPr>
        <w:t>7. 案例分析与局限</w:t>
      </w:r>
    </w:p>
    <w:p>
      <w:pPr>
        <w:spacing w:before="120" w:after="60"/>
      </w:pPr>
      <w:r>
        <w:rPr>
          <w:rFonts w:ascii="Noto Serif CJK SC" w:hAnsi="Noto Serif CJK SC" w:eastAsia="Noto Serif CJK SC"/>
          <w:b/>
          <w:color w:val="1F6F5C"/>
          <w:sz w:val="23"/>
        </w:rPr>
        <w:t>7.1 接口验证（先排除接口错误）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  <w:tblHeader/>
        </w:trPr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5"/>
              </w:rPr>
              <w:t>帧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5"/>
              </w:rPr>
              <w:t>真实动作（前 6 维 + 夹爪）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5"/>
              </w:rPr>
              <w:t>OpenVLA 预测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5"/>
              </w:rPr>
              <w:t>0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5"/>
              </w:rPr>
              <w:t>[-0.0028,-0.0025,-0.0141,-0.0249,0.0361,0.0022, 1.0]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5"/>
              </w:rPr>
              <w:t>[-0.0029,-0.0024,-0.0140,-0.0250,0.0361,-0.0001, 0.9961]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5"/>
              </w:rPr>
              <w:t>10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5"/>
              </w:rPr>
              <w:t>[0.0040,0.0069,-0.0013,-0.0160,-0.0122,0.0048, 0.0]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5"/>
              </w:rPr>
              <w:t>[0.0040,-0.0024,-0.0005,0.0037,0.0006,-0.0097, 0.0]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5"/>
              </w:rPr>
              <w:t>19</w:t>
            </w:r>
          </w:p>
        </w:tc>
        <w:tc>
          <w:tcPr>
            <w:tcW w:type="dxa" w:w="4309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5"/>
              </w:rPr>
              <w:t>[0.0004,-0.0218,-0.0218,0.0583,0.0519,0.1118, 0.0]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5"/>
              </w:rPr>
              <w:t>[0.0005,-0.0218,-0.0174,0.0043,0.0521,-0.0275, 0.0]</w:t>
            </w:r>
          </w:p>
        </w:tc>
      </w:tr>
    </w:tbl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19"/>
        </w:rPr>
        <w:t>在真实 BridgeData 帧上，OpenVLA 的预测与数据集真实动作非常接近，夹爪开/闭也一致。这说明 prompt 模板、动作 token 解码、反归一化和图像预处理都是正确的；SimplerEnv 中的 0 成功不能解释为动作接口接错，主因是真实 Bridge 图像与仿真渲染图像之间的域差异，以及当前 LoRA 微调规模有限。脚本与输出：scripts/check_openvla_real.py、results/analysis/diagnostics_real_bridge.txt。进一步定位到：仿真渲染图像比真实相机图像更锐利；sharp 模式下 debug 夹爪长期为 0.9961（张开），加入 sigma=1.5 模糊后夹爪开始闭合。sharp 正式评测 Base/Final 均为 0/10；blur 正式评测 Base 20.0、Final 30.0。</w:t>
      </w:r>
    </w:p>
    <w:p>
      <w:pPr>
        <w:spacing w:before="120" w:after="60"/>
      </w:pPr>
      <w:r>
        <w:rPr>
          <w:rFonts w:ascii="Noto Serif CJK SC" w:hAnsi="Noto Serif CJK SC" w:eastAsia="Noto Serif CJK SC"/>
          <w:b/>
          <w:color w:val="1F6F5C"/>
          <w:sz w:val="23"/>
        </w:rPr>
        <w:t>7.2 T1：勺子放到毛巾上（Base vs Final）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1_base_succes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Noto Serif CJK SC" w:hAnsi="Noto Serif CJK SC" w:eastAsia="Noto Serif CJK SC"/>
                <w:color w:val="555555"/>
                <w:sz w:val="17"/>
              </w:rPr>
              <w:t>Base 成功，obj id 3，第 25 帧</w:t>
            </w:r>
          </w:p>
        </w:tc>
        <w:tc>
          <w:tcPr>
            <w:tcW w:type="dxa" w:w="504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1_final_failur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Noto Serif CJK SC" w:hAnsi="Noto Serif CJK SC" w:eastAsia="Noto Serif CJK SC"/>
                <w:color w:val="555555"/>
                <w:sz w:val="17"/>
              </w:rPr>
              <w:t>Final 失败，obj id 0，最后帧</w:t>
            </w:r>
          </w:p>
        </w:tc>
      </w:tr>
    </w:tbl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21"/>
        </w:rPr>
        <w:t>Base 成功 episode：机械臂接近勺子、闭合夹爪、抬起并移动到毛巾上方，最终满足“勺子在毛巾上”的判定（31 步）。Final 在 T1 的成功率略低（1/10 vs 2/10）；该失败样例中机械臂接近了勺子，但没有稳定抓取/放置。单看一个 episode 不能说明总体差异。</w:t>
      </w:r>
    </w:p>
    <w:p>
      <w:pPr>
        <w:spacing w:before="120" w:after="60"/>
      </w:pPr>
      <w:r>
        <w:rPr>
          <w:rFonts w:ascii="Noto Serif CJK SC" w:hAnsi="Noto Serif CJK SC" w:eastAsia="Noto Serif CJK SC"/>
          <w:b/>
          <w:color w:val="1F6F5C"/>
          <w:sz w:val="23"/>
        </w:rPr>
        <w:t>7.3 T2：茄子放入篮子（Base vs Final）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2_base_succes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Noto Serif CJK SC" w:hAnsi="Noto Serif CJK SC" w:eastAsia="Noto Serif CJK SC"/>
                <w:color w:val="555555"/>
                <w:sz w:val="17"/>
              </w:rPr>
              <w:t>Base 成功，obj id 2，第 20 帧</w:t>
            </w:r>
          </w:p>
        </w:tc>
        <w:tc>
          <w:tcPr>
            <w:tcW w:type="dxa" w:w="504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2052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2_final_succes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20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Noto Serif CJK SC" w:hAnsi="Noto Serif CJK SC" w:eastAsia="Noto Serif CJK SC"/>
                <w:color w:val="555555"/>
                <w:sz w:val="17"/>
              </w:rPr>
              <w:t>Final 成功，obj id 0，第 14 帧</w:t>
            </w:r>
          </w:p>
        </w:tc>
      </w:tr>
    </w:tbl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sz w:val="21"/>
        </w:rPr>
        <w:t>Base 与 Final 都有把茄子放入篮子的成功样例：Base obj id 2 用 23 步，Final obj id 0 用 16 步。Final 在 T2 的成功率为 5/10，高于 Base 的 2/10；这是本次对比中最明显的变化，但 10 个 episode 的样本量仍不足以证明稳定优势。</w:t>
      </w:r>
    </w:p>
    <w:p>
      <w:pPr>
        <w:spacing w:before="120" w:after="60"/>
      </w:pPr>
      <w:r>
        <w:rPr>
          <w:rFonts w:ascii="Noto Serif CJK SC" w:hAnsi="Noto Serif CJK SC" w:eastAsia="Noto Serif CJK SC"/>
          <w:b/>
          <w:color w:val="1F6F5C"/>
          <w:sz w:val="23"/>
        </w:rPr>
        <w:t>7.4 有证据的观察与可能解释</w:t>
      </w:r>
    </w:p>
    <w:p>
      <w:pPr>
        <w:spacing w:after="60" w:line="300" w:lineRule="auto"/>
      </w:pPr>
      <w:r>
        <w:rPr>
          <w:rFonts w:ascii="Noto Serif CJK SC" w:hAnsi="Noto Serif CJK SC" w:eastAsia="Noto Serif CJK SC"/>
          <w:b/>
          <w:sz w:val="21"/>
        </w:rPr>
        <w:t>有证据的观察：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sharp（无模糊）正式评测 Base/Final 均 0/10；blur sigma=1.5 后 Base 20.0、Final 30.0；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debug 显示 sharp 下夹爪长期为 0.9961（张开），blur 后夹爪开始闭合并出现成功 episode；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Base T1 2/10、T2 2/10；Final T1 1/10、T2 5/10；Final 的变化集中在 T2；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训练 loss 从约 11.9 降至 3.0–3.3，action accuracy 从约 0.14 升至 0.20–0.25；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image_aug=True 的第二次训练在 dev（加 blur）为 1/6，与原始 Final 持平，未采用。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T1 数据质量消融：只保留 188 条严格目标轨迹重训，dev T1 1/3（与混合 Final 持平）、T2 2/3（混合 Final 0/3）；但正式 T1 为 0/10（混合 Final 1/10），dev 的 1 次成功未复现。T1 未改善，严格 adapter 未替换 Final。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训练步数诊断：val loss Base 11.16、3000 步 3.17、8000 步 3.67；8000 步训练 loss 更低（约 2.6）但验证 loss 升高，开发集 T1/T2 与 3000 步相同，属于过拟合。</w:t>
      </w:r>
    </w:p>
    <w:p>
      <w:pPr>
        <w:spacing w:after="60" w:line="300" w:lineRule="auto"/>
      </w:pPr>
      <w:r>
        <w:rPr>
          <w:rFonts w:ascii="Noto Serif CJK SC" w:hAnsi="Noto Serif CJK SC" w:eastAsia="Noto Serif CJK SC"/>
          <w:b/>
          <w:sz w:val="21"/>
        </w:rPr>
        <w:t>可能但尚未验证的解释：</w:t>
      </w:r>
    </w:p>
    <w:p>
      <w:pPr>
        <w:spacing w:after="20"/>
        <w:ind w:left="340"/>
      </w:pPr>
      <w:r>
        <w:rPr>
          <w:rFonts w:ascii="Noto Serif CJK SC" w:hAnsi="Noto Serif CJK SC" w:eastAsia="Noto Serif CJK SC"/>
          <w:sz w:val="20"/>
        </w:rPr>
        <w:t>1. 模糊降低了仿真渲染与真实相机的锐度差异，使模型恢复“该闭合夹爪”的行为；sigma 仅在 3 个开发状态上选择，存在过拟合风险；</w:t>
      </w:r>
    </w:p>
    <w:p>
      <w:pPr>
        <w:spacing w:after="20"/>
        <w:ind w:left="340"/>
      </w:pPr>
      <w:r>
        <w:rPr>
          <w:rFonts w:ascii="Noto Serif CJK SC" w:hAnsi="Noto Serif CJK SC" w:eastAsia="Noto Serif CJK SC"/>
          <w:sz w:val="20"/>
        </w:rPr>
        <w:t>2. Final 在 T2 提升更明显，可能与训练子集中茄子/篮子相关轨迹有关；T1 略低可能来自场景多样性、LoRA 容量或评测方差；</w:t>
      </w:r>
    </w:p>
    <w:p>
      <w:pPr>
        <w:spacing w:after="20"/>
        <w:ind w:left="340"/>
      </w:pPr>
      <w:r>
        <w:rPr>
          <w:rFonts w:ascii="Noto Serif CJK SC" w:hAnsi="Noto Serif CJK SC" w:eastAsia="Noto Serif CJK SC"/>
          <w:sz w:val="20"/>
        </w:rPr>
        <w:t>3. LoRA 只更新 1.45% 参数、只训练 3000 步，长程抓取-放置策略的改变有限；</w:t>
      </w:r>
    </w:p>
    <w:p>
      <w:pPr>
        <w:spacing w:after="20"/>
        <w:ind w:left="340"/>
      </w:pPr>
      <w:r>
        <w:rPr>
          <w:rFonts w:ascii="Noto Serif CJK SC" w:hAnsi="Noto Serif CJK SC" w:eastAsia="Noto Serif CJK SC"/>
          <w:sz w:val="20"/>
        </w:rPr>
        <w:t>4. 每任务只有 10 个 episode，+10.0 pp 与 T2 +30.0 pp 不能视为稳定优势；</w:t>
      </w:r>
    </w:p>
    <w:p>
      <w:pPr>
        <w:spacing w:after="20"/>
        <w:ind w:left="340"/>
      </w:pPr>
      <w:r>
        <w:rPr>
          <w:rFonts w:ascii="Noto Serif CJK SC" w:hAnsi="Noto Serif CJK SC" w:eastAsia="Noto Serif CJK SC"/>
          <w:sz w:val="20"/>
        </w:rPr>
        <w:t>5. Base 与 Final 的反归一化统计量不同（预训练 vs 子集），可能带来轻微动作尺度差异。</w:t>
      </w:r>
    </w:p>
    <w:p>
      <w:pPr>
        <w:spacing w:before="120" w:after="60"/>
      </w:pPr>
      <w:r>
        <w:rPr>
          <w:rFonts w:ascii="Noto Serif CJK SC" w:hAnsi="Noto Serif CJK SC" w:eastAsia="Noto Serif CJK SC"/>
          <w:b/>
          <w:color w:val="1F6F5C"/>
          <w:sz w:val="23"/>
        </w:rPr>
        <w:t>7.5 局限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单次训练、单一种子；没有多随机种子或多数据规模消融（B 类不要求）；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正式评测每任务 10 次，+10.0 pp 与 T2 +30.0 pp 不能视为稳定优势；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模糊 sigma=1.5 只在 3 个开发状态上选择，存在过拟合开发状态的风险；更严格的做法是用更多开发状态或独立验证集选择；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sharp（无模糊）基线为 0/10；模糊后的提升有视频和动作 debug 证据，但仍需更大样本验证；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T1 数据质量消融：dev 1/3、正式 T1 0/10；数据清洗没有改善 T1，不能据此断言数据清洗无效，但也不支持“T1 差只是因为数据混杂”的解释；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8000 步 val loss（3.67）高于 3000 步（3.17），继续加步数会过拟合；增加训练量不是提升 T1 的有效方向；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训练数据来自公开真机数据，与仿真评测的初始布局/物体外观仍有差异；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Final 为 LoRA adapter，未做全参数微调或更大规模训练；</w:t>
      </w:r>
    </w:p>
    <w:p>
      <w:pPr>
        <w:pStyle w:val="ListBullet"/>
        <w:spacing w:after="20"/>
      </w:pPr>
      <w:r>
        <w:rPr>
          <w:rFonts w:ascii="Noto Serif CJK SC" w:hAnsi="Noto Serif CJK SC" w:eastAsia="Noto Serif CJK SC"/>
          <w:sz w:val="20"/>
        </w:rPr>
        <w:t>未对失败视频做物体位姿级别的定量标注，案例结论以观察为主。</w:t>
      </w:r>
    </w:p>
    <w:p>
      <w:pPr>
        <w:spacing w:before="200" w:after="60"/>
        <w:pBdr>
          <w:bottom w:val="single" w:sz="6" w:space="1" w:color="1F6F5C"/>
        </w:pBdr>
      </w:pPr>
      <w:r>
        <w:rPr>
          <w:rFonts w:ascii="Noto Serif CJK SC" w:hAnsi="Noto Serif CJK SC" w:eastAsia="Noto Serif CJK SC"/>
          <w:b/>
          <w:color w:val="1F6F5C"/>
          <w:sz w:val="28"/>
        </w:rPr>
        <w:t>8. 复现信息与分工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项目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b/>
                <w:sz w:val="17"/>
              </w:rPr>
              <w:t>内容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公开代码仓库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https://github.com/xht03/2026ML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Final checkpoint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LoRA adapter，约 484 MB；下载链接见 checkpoint_link.txt（待上传）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Base 模型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openvla/openvla-7b（Hugging Face）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关键依赖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PyTorch 2.7.1+cu128、transformers 4.40.1、tokenizers 0.19.1、timm 0.9.10、peft 0.11.1、TensorFlow 2.15 / TFDS 4.9.4、SAPIEN 2.2.2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训练命令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见 README 第 5 节；等效 batch 8，固定 3000 步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评测命令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见 README 第 6 节；Base/Final 独立进程，object id 0–9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图像预处理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configs/policy_preprocess.json：gaussian_blur_sigma=1.5（Base/Final 相同）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逐 episode 结果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results/episodes.csv；汇总 results/results.csv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视频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results/videos/（全部 40 个；代表视频见 README 7.2）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组员分工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Noto Serif CJK SC" w:hAnsi="Noto Serif CJK SC" w:eastAsia="Noto Serif CJK SC"/>
                <w:sz w:val="17"/>
              </w:rPr>
              <w:t>胥昊天：项目统筹、环境/数据管线、LoRA 训练与最终评测、报告整合；曹奕伦：BridgeData 筛选与 RLDS 构建、训练日志与验证 loss 分析；徐厚泽：SimplerEnv 评测脚本、初始状态清单与逐 episode 结果汇总；彭泽宇：视频采集与代表性 episode 分析、失败原因整理；刘翔：模型/文献调研、复现文档与报告校对</w:t>
            </w:r>
          </w:p>
        </w:tc>
      </w:tr>
    </w:tbl>
    <w:p>
      <w:pPr>
        <w:spacing w:after="60" w:line="300" w:lineRule="auto"/>
      </w:pPr>
      <w:r>
        <w:rPr>
          <w:rFonts w:ascii="Noto Serif CJK SC" w:hAnsi="Noto Serif CJK SC" w:eastAsia="Noto Serif CJK SC"/>
          <w:b w:val="0"/>
          <w:color w:val="555555"/>
          <w:sz w:val="18"/>
        </w:rPr>
        <w:t>Final adapter 加载方式：PeftModel.from_pretrained(base, adapter)，其中 base 为 openvla/openvla-7b；训练子集的统计量在 run 目录 dataset_statistics.json，推理时覆盖 norm_stats["bridge_orig"]。</w:t>
      </w:r>
    </w:p>
    <w:p>
      <w:pPr>
        <w:spacing w:before="200" w:after="60"/>
        <w:pBdr>
          <w:bottom w:val="single" w:sz="6" w:space="1" w:color="1F6F5C"/>
        </w:pBdr>
      </w:pPr>
      <w:r>
        <w:rPr>
          <w:rFonts w:ascii="Noto Serif CJK SC" w:hAnsi="Noto Serif CJK SC" w:eastAsia="Noto Serif CJK SC"/>
          <w:b/>
          <w:color w:val="1F6F5C"/>
          <w:sz w:val="28"/>
        </w:rPr>
        <w:t>参考文献</w:t>
      </w:r>
    </w:p>
    <w:p>
      <w:pPr>
        <w:spacing w:after="20"/>
        <w:ind w:left="283"/>
      </w:pPr>
      <w:r>
        <w:rPr>
          <w:rFonts w:ascii="Noto Serif CJK SC" w:hAnsi="Noto Serif CJK SC" w:eastAsia="Noto Serif CJK SC"/>
          <w:color w:val="555555"/>
          <w:sz w:val="17"/>
        </w:rPr>
        <w:t>[1] Li et al. Evaluating Real-World Robot Manipulation Policies in Simulation (SimplerEnv). arXiv:2405.05941, 2024.</w:t>
      </w:r>
    </w:p>
    <w:p>
      <w:pPr>
        <w:spacing w:after="20"/>
        <w:ind w:left="283"/>
      </w:pPr>
      <w:r>
        <w:rPr>
          <w:rFonts w:ascii="Noto Serif CJK SC" w:hAnsi="Noto Serif CJK SC" w:eastAsia="Noto Serif CJK SC"/>
          <w:color w:val="555555"/>
          <w:sz w:val="17"/>
        </w:rPr>
        <w:t>[2] Walke et al. BridgeData V2: A Dataset for Robot Learning at Scale. arXiv:2308.12952, 2023.</w:t>
      </w:r>
    </w:p>
    <w:p>
      <w:pPr>
        <w:spacing w:after="20"/>
        <w:ind w:left="283"/>
      </w:pPr>
      <w:r>
        <w:rPr>
          <w:rFonts w:ascii="Noto Serif CJK SC" w:hAnsi="Noto Serif CJK SC" w:eastAsia="Noto Serif CJK SC"/>
          <w:color w:val="555555"/>
          <w:sz w:val="17"/>
        </w:rPr>
        <w:t>[3] Kim et al. OpenVLA: An Open-Source Vision-Language-Action Model. arXiv:2406.09246, 2024.</w:t>
      </w:r>
    </w:p>
    <w:p>
      <w:pPr>
        <w:spacing w:after="20"/>
        <w:ind w:left="283"/>
      </w:pPr>
      <w:r>
        <w:rPr>
          <w:rFonts w:ascii="Noto Serif CJK SC" w:hAnsi="Noto Serif CJK SC" w:eastAsia="Noto Serif CJK SC"/>
          <w:color w:val="555555"/>
          <w:sz w:val="17"/>
        </w:rPr>
        <w:t>[4] Hu et al. LoRA: Low-Rank Adaptation of Large Language Models. arXiv:2106.09685, 2021.</w:t>
      </w:r>
    </w:p>
    <w:p>
      <w:pPr>
        <w:spacing w:after="20"/>
        <w:ind w:left="283"/>
      </w:pPr>
      <w:r>
        <w:rPr>
          <w:rFonts w:ascii="Noto Serif CJK SC" w:hAnsi="Noto Serif CJK SC" w:eastAsia="Noto Serif CJK SC"/>
          <w:color w:val="555555"/>
          <w:sz w:val="17"/>
        </w:rPr>
        <w:t>[5] Open X-Embodiment Collaboration. Open X-Embodiment: Robotic Learning Datasets and RT-X Models. arXiv:2310.08864, 2023.</w:t>
      </w:r>
    </w:p>
    <w:p>
      <w:pPr>
        <w:spacing w:after="20"/>
        <w:ind w:left="283"/>
      </w:pPr>
      <w:r>
        <w:rPr>
          <w:rFonts w:ascii="Noto Serif CJK SC" w:hAnsi="Noto Serif CJK SC" w:eastAsia="Noto Serif CJK SC"/>
          <w:color w:val="555555"/>
          <w:sz w:val="17"/>
        </w:rPr>
        <w:t>[6] OpenVLA model card: https://huggingface.co/openvla/openvla-7b</w:t>
      </w:r>
    </w:p>
    <w:p>
      <w:pPr>
        <w:spacing w:after="20"/>
        <w:ind w:left="283"/>
      </w:pPr>
      <w:r>
        <w:rPr>
          <w:rFonts w:ascii="Noto Serif CJK SC" w:hAnsi="Noto Serif CJK SC" w:eastAsia="Noto Serif CJK SC"/>
          <w:color w:val="555555"/>
          <w:sz w:val="17"/>
        </w:rPr>
        <w:t>[7] SimplerEnv: https://github.com/simpler-env/SimplerEnv</w:t>
      </w:r>
    </w:p>
    <w:p>
      <w:pPr>
        <w:spacing w:after="20"/>
        <w:ind w:left="283"/>
      </w:pPr>
      <w:r>
        <w:rPr>
          <w:rFonts w:ascii="Noto Serif CJK SC" w:hAnsi="Noto Serif CJK SC" w:eastAsia="Noto Serif CJK SC"/>
          <w:color w:val="555555"/>
          <w:sz w:val="17"/>
        </w:rPr>
        <w:t>[8] BridgeData V2: https://rail-berkeley.github.io/bridgedata/</w:t>
      </w:r>
    </w:p>
    <w:sectPr w:rsidR="00FC693F" w:rsidRPr="0006063C" w:rsidSect="00034616">
      <w:pgSz w:w="11906" w:h="16838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erif CJK SC" w:hAnsi="Noto Serif CJK SC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