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F10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Q4：命名实体识别（NER）含义与典型应用场景？</w:t>
      </w:r>
    </w:p>
    <w:p w14:paraId="29B30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5"/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答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：从非结构化文本中自动抽取专有实体并分类（人名、地名、机构、时间、产品名），属于信息抽取核心任务。 落地：①金融：财报抽取上市公司、金额；②医疗：病历提取病症、药品；③智能客服：抓取用户地址、手机号；④知识图谱搭建实体素材。</w:t>
      </w:r>
    </w:p>
    <w:p w14:paraId="79E427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295994"/>
    <w:rsid w:val="7308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2026-06-03T05:40:11Z</dcterms:created>
  <dc:creator>hu</dc:creator>
  <cp:lastModifiedBy>...</cp:lastModifiedBy>
  <dcterms:modified xsi:type="dcterms:W3CDTF">2026-06-03T05:40:32Z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eyJoZGlkIjoiM2Q2MGVmODM2MmM5MjJjMjE3Nzg1OWQ3YmM3ZGYzZWIiLCJ1c2VySWQiOiIxMjQwMTM2OTcyIn0=</vt:lpwstr>
  </property>
  <property fmtid="{D5CDD505-2E9C-101B-9397-08002B2CF9AE}" pid="4" name="ICV">
    <vt:lpwstr>D25780294D2C43768E246C3CB16BA60D_13</vt:lpwstr>
  </property>
</Properties>
</file>